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1005" w:rsidRPr="00CB7199" w:rsidRDefault="00D91005" w:rsidP="000B2B9A">
      <w:pPr>
        <w:jc w:val="center"/>
        <w:rPr>
          <w:rFonts w:ascii="Arial" w:hAnsi="Arial" w:cs="Arial"/>
          <w:b/>
          <w:bCs/>
        </w:rPr>
      </w:pPr>
      <w:r>
        <w:rPr>
          <w:rFonts w:ascii="Arial" w:hAnsi="Arial" w:cs="Arial"/>
          <w:b/>
          <w:bCs/>
        </w:rPr>
        <w:t>CORPORACIÓN AUTÓ</w:t>
      </w:r>
      <w:r w:rsidRPr="00CB7199">
        <w:rPr>
          <w:rFonts w:ascii="Arial" w:hAnsi="Arial" w:cs="Arial"/>
          <w:b/>
          <w:bCs/>
        </w:rPr>
        <w:t>NONA REGIONAL DEL QUIND</w:t>
      </w:r>
      <w:r>
        <w:rPr>
          <w:rFonts w:ascii="Arial" w:hAnsi="Arial" w:cs="Arial"/>
          <w:b/>
          <w:bCs/>
        </w:rPr>
        <w:t>Í</w:t>
      </w:r>
      <w:r w:rsidRPr="00CB7199">
        <w:rPr>
          <w:rFonts w:ascii="Arial" w:hAnsi="Arial" w:cs="Arial"/>
          <w:b/>
          <w:bCs/>
        </w:rPr>
        <w:t xml:space="preserve">O </w:t>
      </w:r>
      <w:r>
        <w:rPr>
          <w:rFonts w:ascii="Arial" w:hAnsi="Arial" w:cs="Arial"/>
          <w:b/>
          <w:bCs/>
        </w:rPr>
        <w:t>–CRQ-</w:t>
      </w:r>
    </w:p>
    <w:p w:rsidR="00D91005" w:rsidRPr="00CB7199" w:rsidRDefault="00D91005" w:rsidP="000B2B9A">
      <w:pPr>
        <w:jc w:val="center"/>
        <w:rPr>
          <w:rFonts w:ascii="Arial" w:hAnsi="Arial" w:cs="Arial"/>
          <w:b/>
          <w:bCs/>
        </w:rPr>
      </w:pPr>
      <w:r w:rsidRPr="00CB7199">
        <w:rPr>
          <w:rFonts w:ascii="Arial" w:hAnsi="Arial" w:cs="Arial"/>
          <w:b/>
          <w:bCs/>
        </w:rPr>
        <w:t>DICTAMEN DE REVISORIA FISCAL</w:t>
      </w:r>
    </w:p>
    <w:p w:rsidR="00D91005" w:rsidRPr="00CB7199" w:rsidRDefault="00D91005" w:rsidP="000B2B9A">
      <w:pPr>
        <w:pStyle w:val="NoSpacing"/>
        <w:jc w:val="both"/>
        <w:rPr>
          <w:rFonts w:ascii="Arial" w:hAnsi="Arial" w:cs="Arial"/>
        </w:rPr>
      </w:pPr>
      <w:r w:rsidRPr="00CB7199">
        <w:rPr>
          <w:rFonts w:ascii="Arial" w:hAnsi="Arial" w:cs="Arial"/>
        </w:rPr>
        <w:t xml:space="preserve">He Examinado los Estados Financieros de la </w:t>
      </w:r>
      <w:r>
        <w:rPr>
          <w:rFonts w:ascii="Arial" w:hAnsi="Arial" w:cs="Arial"/>
          <w:b/>
          <w:bCs/>
        </w:rPr>
        <w:t>CR</w:t>
      </w:r>
      <w:r w:rsidRPr="00CB7199">
        <w:rPr>
          <w:rFonts w:ascii="Arial" w:hAnsi="Arial" w:cs="Arial"/>
          <w:b/>
          <w:bCs/>
        </w:rPr>
        <w:t>Q</w:t>
      </w:r>
      <w:r w:rsidRPr="00CB7199">
        <w:rPr>
          <w:rFonts w:ascii="Arial" w:hAnsi="Arial" w:cs="Arial"/>
        </w:rPr>
        <w:t xml:space="preserve"> a </w:t>
      </w:r>
      <w:r>
        <w:rPr>
          <w:rFonts w:ascii="Arial" w:hAnsi="Arial" w:cs="Arial"/>
        </w:rPr>
        <w:t>30 de diciembre del 2010,</w:t>
      </w:r>
      <w:r w:rsidRPr="00CB7199">
        <w:rPr>
          <w:rFonts w:ascii="Arial" w:hAnsi="Arial" w:cs="Arial"/>
        </w:rPr>
        <w:t xml:space="preserve"> conformados por el Balance General, El Estado de Ingresos y Egreso, El Estado de Cambios en el Patrimonio y las Notas Explicativas de las principales representaciones de estos estados financieros.</w:t>
      </w:r>
    </w:p>
    <w:p w:rsidR="00D91005" w:rsidRPr="00CB7199" w:rsidRDefault="00D91005" w:rsidP="000B2B9A">
      <w:pPr>
        <w:pStyle w:val="NoSpacing"/>
        <w:jc w:val="both"/>
        <w:rPr>
          <w:rFonts w:ascii="Arial" w:hAnsi="Arial" w:cs="Arial"/>
        </w:rPr>
      </w:pPr>
    </w:p>
    <w:p w:rsidR="00D91005" w:rsidRPr="00CB7199" w:rsidRDefault="00D91005" w:rsidP="000B2B9A">
      <w:pPr>
        <w:pStyle w:val="NoSpacing"/>
        <w:jc w:val="both"/>
        <w:rPr>
          <w:rFonts w:ascii="Arial" w:hAnsi="Arial" w:cs="Arial"/>
        </w:rPr>
      </w:pPr>
      <w:r w:rsidRPr="00CB7199">
        <w:rPr>
          <w:rFonts w:ascii="Arial" w:hAnsi="Arial" w:cs="Arial"/>
        </w:rPr>
        <w:t xml:space="preserve">Los Estados Financieros en su conjunto, es responsabilidad en la elaboración y presentación de la </w:t>
      </w:r>
      <w:r w:rsidRPr="00741D52">
        <w:rPr>
          <w:rFonts w:ascii="Arial" w:hAnsi="Arial" w:cs="Arial"/>
          <w:b/>
          <w:bCs/>
        </w:rPr>
        <w:t>CRQ</w:t>
      </w:r>
      <w:r>
        <w:rPr>
          <w:rFonts w:ascii="Arial" w:hAnsi="Arial" w:cs="Arial"/>
        </w:rPr>
        <w:t xml:space="preserve">; </w:t>
      </w:r>
      <w:r w:rsidRPr="00CB7199">
        <w:rPr>
          <w:rFonts w:ascii="Arial" w:hAnsi="Arial" w:cs="Arial"/>
        </w:rPr>
        <w:t>entre mis funciones esta la de auditarlos y expresar una opinión sobre la razonabilidad y concordancia existente entre ellos.</w:t>
      </w:r>
    </w:p>
    <w:p w:rsidR="00D91005" w:rsidRPr="00CB7199" w:rsidRDefault="00D91005" w:rsidP="000B2B9A">
      <w:pPr>
        <w:pStyle w:val="NoSpacing"/>
        <w:jc w:val="both"/>
        <w:rPr>
          <w:rFonts w:ascii="Arial" w:hAnsi="Arial" w:cs="Arial"/>
        </w:rPr>
      </w:pPr>
    </w:p>
    <w:p w:rsidR="00D91005" w:rsidRPr="00CB7199" w:rsidRDefault="00D91005" w:rsidP="000B2B9A">
      <w:pPr>
        <w:pStyle w:val="NoSpacing"/>
        <w:jc w:val="both"/>
        <w:rPr>
          <w:rFonts w:ascii="Arial" w:hAnsi="Arial" w:cs="Arial"/>
        </w:rPr>
      </w:pPr>
      <w:r w:rsidRPr="00CB7199">
        <w:rPr>
          <w:rFonts w:ascii="Arial" w:hAnsi="Arial" w:cs="Arial"/>
        </w:rPr>
        <w:t>Puedo expresar que obtuve la información necesaria para cumplir con mis funciones de Revisoría Fiscal, así como mi permanente acompañamiento y comunicación con la Dirección General y Subdirección Operativa Administrativa y Financiera, al término de cada auditoria que practique y en el cierre contable trimestral; de acuerdo a los informes presentados a los organismos de Control.</w:t>
      </w:r>
      <w:r>
        <w:rPr>
          <w:rFonts w:ascii="Arial" w:hAnsi="Arial" w:cs="Arial"/>
        </w:rPr>
        <w:t xml:space="preserve"> </w:t>
      </w:r>
      <w:r w:rsidRPr="00CB7199">
        <w:rPr>
          <w:rFonts w:ascii="Arial" w:hAnsi="Arial" w:cs="Arial"/>
        </w:rPr>
        <w:t xml:space="preserve"> Realice la asesoría solicitada por cada una de las áreas involucradas en las auditorias como producto de las observaciones encontradas en la revisión y evaluación; con el fin de llevar a cabo  mejoramiento de cada uno de los procesos</w:t>
      </w:r>
    </w:p>
    <w:p w:rsidR="00D91005" w:rsidRPr="00CB7199" w:rsidRDefault="00D91005" w:rsidP="000B2B9A">
      <w:pPr>
        <w:pStyle w:val="NoSpacing"/>
        <w:jc w:val="both"/>
        <w:rPr>
          <w:rFonts w:ascii="Arial" w:hAnsi="Arial" w:cs="Arial"/>
        </w:rPr>
      </w:pPr>
    </w:p>
    <w:p w:rsidR="00D91005" w:rsidRPr="00CB7199" w:rsidRDefault="00D91005" w:rsidP="000B2B9A">
      <w:pPr>
        <w:pStyle w:val="NoSpacing"/>
        <w:jc w:val="both"/>
        <w:rPr>
          <w:rFonts w:ascii="Arial" w:hAnsi="Arial" w:cs="Arial"/>
        </w:rPr>
      </w:pPr>
      <w:r w:rsidRPr="00CB7199">
        <w:rPr>
          <w:rFonts w:ascii="Arial" w:hAnsi="Arial" w:cs="Arial"/>
        </w:rPr>
        <w:t xml:space="preserve">Mi trabajo lo ejecute de acuerdo a las Normas de Auditoria generalmente aceptadas en Colombia,  las cuales requieren que las auditorias sean planificadas y realizadas de  tal manera que se obtenga certeza suficiente que los Estados Financieros reflejan en forma razonable y fidedigna la situación financiera de la Entidad auditada, de acuerdo a las pruebas selectivas de la evidencia que respaldan las cifras y las revelaciones de las mismas; teniendo en cuenta los principios de contabilidad aplicados, las estimaciones contables y la elaboración y presentación de los Estados financieros en su conjunto. </w:t>
      </w:r>
      <w:r>
        <w:rPr>
          <w:rFonts w:ascii="Arial" w:hAnsi="Arial" w:cs="Arial"/>
        </w:rPr>
        <w:t xml:space="preserve"> </w:t>
      </w:r>
      <w:r w:rsidRPr="00CB7199">
        <w:rPr>
          <w:rFonts w:ascii="Arial" w:hAnsi="Arial" w:cs="Arial"/>
        </w:rPr>
        <w:t>Por lo anterior considero que mi auditoria me provee de herramientas suficientes y razonables para expresar mi opinión.</w:t>
      </w:r>
    </w:p>
    <w:p w:rsidR="00D91005" w:rsidRPr="00CB7199" w:rsidRDefault="00D91005" w:rsidP="000B2B9A">
      <w:pPr>
        <w:pStyle w:val="NoSpacing"/>
        <w:jc w:val="both"/>
        <w:rPr>
          <w:rFonts w:ascii="Arial" w:hAnsi="Arial" w:cs="Arial"/>
        </w:rPr>
      </w:pPr>
    </w:p>
    <w:p w:rsidR="00D91005" w:rsidRPr="00CB7199" w:rsidRDefault="00D91005" w:rsidP="000B2B9A">
      <w:pPr>
        <w:pStyle w:val="NoSpacing"/>
        <w:jc w:val="both"/>
        <w:rPr>
          <w:rFonts w:ascii="Arial" w:hAnsi="Arial" w:cs="Arial"/>
        </w:rPr>
      </w:pPr>
      <w:r w:rsidRPr="00CB7199">
        <w:rPr>
          <w:rFonts w:ascii="Arial" w:hAnsi="Arial" w:cs="Arial"/>
        </w:rPr>
        <w:t xml:space="preserve">La Entidad en la vigencia de 2010 como resultado de sus operaciones financiera y contables obtuvo Excedente Operacional de $1.262.551 millones de pesos y un Excedente del ejercicio de $ 792.054 millones de pesos. </w:t>
      </w:r>
      <w:r>
        <w:rPr>
          <w:rFonts w:ascii="Arial" w:hAnsi="Arial" w:cs="Arial"/>
        </w:rPr>
        <w:t xml:space="preserve"> </w:t>
      </w:r>
      <w:r w:rsidRPr="00CB7199">
        <w:rPr>
          <w:rFonts w:ascii="Arial" w:hAnsi="Arial" w:cs="Arial"/>
        </w:rPr>
        <w:t xml:space="preserve">Anexo al presente Análisis sobre el Estado de Resultados de ejercicio fiscal de 2010 </w:t>
      </w:r>
    </w:p>
    <w:p w:rsidR="00D91005" w:rsidRPr="00CB7199" w:rsidRDefault="00D91005" w:rsidP="000B2B9A">
      <w:pPr>
        <w:pStyle w:val="NoSpacing"/>
        <w:jc w:val="both"/>
        <w:rPr>
          <w:rFonts w:ascii="Arial" w:hAnsi="Arial" w:cs="Arial"/>
        </w:rPr>
      </w:pPr>
    </w:p>
    <w:p w:rsidR="00D91005" w:rsidRPr="00CB7199" w:rsidRDefault="00D91005" w:rsidP="000B2B9A">
      <w:pPr>
        <w:pStyle w:val="NoSpacing"/>
        <w:jc w:val="both"/>
        <w:rPr>
          <w:rFonts w:ascii="Arial" w:hAnsi="Arial" w:cs="Arial"/>
        </w:rPr>
      </w:pPr>
      <w:r w:rsidRPr="00CB7199">
        <w:rPr>
          <w:rFonts w:ascii="Arial" w:hAnsi="Arial" w:cs="Arial"/>
        </w:rPr>
        <w:t xml:space="preserve">En mi opinión los Estados Financieros auditados, tomados fielmente de los libros contables de la Entidad y preparados de conformidad con las Normas de Contabilidad Generalmente Aceptadas e instructivos impartidos por la Contaduría General de la Nación, presentan en forma razonable la situación financiera de la </w:t>
      </w:r>
      <w:r w:rsidRPr="00CB7199">
        <w:rPr>
          <w:rFonts w:ascii="Arial" w:hAnsi="Arial" w:cs="Arial"/>
          <w:b/>
          <w:bCs/>
        </w:rPr>
        <w:t>C</w:t>
      </w:r>
      <w:r>
        <w:rPr>
          <w:rFonts w:ascii="Arial" w:hAnsi="Arial" w:cs="Arial"/>
          <w:b/>
          <w:bCs/>
        </w:rPr>
        <w:t>RQ</w:t>
      </w:r>
      <w:r w:rsidRPr="00CB7199">
        <w:rPr>
          <w:rFonts w:ascii="Arial" w:hAnsi="Arial" w:cs="Arial"/>
          <w:b/>
          <w:bCs/>
        </w:rPr>
        <w:t xml:space="preserve"> </w:t>
      </w:r>
      <w:r w:rsidRPr="00CB7199">
        <w:rPr>
          <w:rFonts w:ascii="Arial" w:hAnsi="Arial" w:cs="Arial"/>
        </w:rPr>
        <w:t xml:space="preserve">a </w:t>
      </w:r>
      <w:r>
        <w:rPr>
          <w:rFonts w:ascii="Arial" w:hAnsi="Arial" w:cs="Arial"/>
        </w:rPr>
        <w:t xml:space="preserve">30 de diciembre del </w:t>
      </w:r>
      <w:r w:rsidRPr="00CB7199">
        <w:rPr>
          <w:rFonts w:ascii="Arial" w:hAnsi="Arial" w:cs="Arial"/>
        </w:rPr>
        <w:t>2010, el Estado de resultado de las operaciones y los cambios en el Patrimonio, por el año terminado en la misma fecha.</w:t>
      </w:r>
    </w:p>
    <w:p w:rsidR="00D91005" w:rsidRPr="00CB7199" w:rsidRDefault="00D91005" w:rsidP="000B2B9A">
      <w:pPr>
        <w:pStyle w:val="NoSpacing"/>
        <w:jc w:val="both"/>
        <w:rPr>
          <w:rFonts w:ascii="Arial" w:hAnsi="Arial" w:cs="Arial"/>
        </w:rPr>
      </w:pPr>
    </w:p>
    <w:p w:rsidR="00D91005" w:rsidRDefault="00D91005" w:rsidP="000B2B9A">
      <w:pPr>
        <w:pStyle w:val="NoSpacing"/>
        <w:jc w:val="both"/>
        <w:rPr>
          <w:rFonts w:ascii="Arial" w:hAnsi="Arial" w:cs="Arial"/>
        </w:rPr>
      </w:pPr>
      <w:r w:rsidRPr="00CB7199">
        <w:rPr>
          <w:rFonts w:ascii="Arial" w:hAnsi="Arial" w:cs="Arial"/>
        </w:rPr>
        <w:t>Basada  en el alcance de mi examen, conceptúo de la Entidad lleva la Contabilidad conforme a las normas legales y a la técnica contable, que las operaciones registradas y los actos de la administración se ajustaron a las decisiones de la Asamblea Corporativa y de la Junta Directiva, que los documentos y los soportes contables se llevan y se conservan en forma debida, siendo adecuadas las medidas de control adoptadas para su conservación y custodia.</w:t>
      </w:r>
    </w:p>
    <w:p w:rsidR="00D91005" w:rsidRPr="00CB7199" w:rsidRDefault="00D91005" w:rsidP="000B2B9A">
      <w:pPr>
        <w:pStyle w:val="NoSpacing"/>
        <w:jc w:val="both"/>
        <w:rPr>
          <w:rFonts w:ascii="Arial" w:hAnsi="Arial" w:cs="Arial"/>
        </w:rPr>
      </w:pPr>
    </w:p>
    <w:p w:rsidR="00D91005" w:rsidRPr="00CB7199" w:rsidRDefault="00D91005" w:rsidP="000B2B9A">
      <w:pPr>
        <w:pStyle w:val="NoSpacing"/>
        <w:jc w:val="both"/>
        <w:rPr>
          <w:rFonts w:ascii="Arial" w:hAnsi="Arial" w:cs="Arial"/>
        </w:rPr>
      </w:pPr>
      <w:r w:rsidRPr="00CB7199">
        <w:rPr>
          <w:rFonts w:ascii="Arial" w:hAnsi="Arial" w:cs="Arial"/>
        </w:rPr>
        <w:t>El software contable PCT que maneja la Entidad cuenta con la debida licencia, cumpliendo con la norma, con relación a los procesos que se manejan en este sistema.</w:t>
      </w:r>
    </w:p>
    <w:p w:rsidR="00D91005" w:rsidRPr="00CB7199" w:rsidRDefault="00D91005" w:rsidP="000B2B9A">
      <w:pPr>
        <w:pStyle w:val="NoSpacing"/>
        <w:jc w:val="both"/>
        <w:rPr>
          <w:rFonts w:ascii="Arial" w:hAnsi="Arial" w:cs="Arial"/>
        </w:rPr>
      </w:pPr>
    </w:p>
    <w:p w:rsidR="00D91005" w:rsidRPr="00975731" w:rsidRDefault="00D91005" w:rsidP="00975731">
      <w:pPr>
        <w:pStyle w:val="NoSpacing"/>
        <w:jc w:val="both"/>
        <w:rPr>
          <w:rFonts w:ascii="Arial" w:hAnsi="Arial" w:cs="Arial"/>
        </w:rPr>
      </w:pPr>
      <w:r w:rsidRPr="00975731">
        <w:rPr>
          <w:rFonts w:ascii="Arial" w:hAnsi="Arial" w:cs="Arial"/>
        </w:rPr>
        <w:t xml:space="preserve">Mi examen incluyó también la evaluación al cumplimiento de la Entidad a las obligaciones del Sistema general de seguridad social y en la oportunidad en el pago de los aportes parafiscales, por lo cual puedo manifestar que cumplió en forma oportuna con estas obligaciones laborales. </w:t>
      </w:r>
      <w:r>
        <w:rPr>
          <w:rFonts w:ascii="Arial" w:hAnsi="Arial" w:cs="Arial"/>
        </w:rPr>
        <w:t xml:space="preserve"> </w:t>
      </w:r>
      <w:r w:rsidRPr="00975731">
        <w:rPr>
          <w:rFonts w:ascii="Arial" w:hAnsi="Arial" w:cs="Arial"/>
        </w:rPr>
        <w:t>Igualmente se hizo seguimiento al cumplimiento con las obligaciones tributarias que tiene bajo su responsabilidad tanto de orden nacional como departamental y municipal, atendiendo en forma debida y oportuna con su presentación y  pago.</w:t>
      </w:r>
    </w:p>
    <w:p w:rsidR="00D91005" w:rsidRPr="00975731" w:rsidRDefault="00D91005" w:rsidP="00975731">
      <w:pPr>
        <w:pStyle w:val="NoSpacing"/>
        <w:jc w:val="both"/>
        <w:rPr>
          <w:rFonts w:ascii="Arial" w:hAnsi="Arial" w:cs="Arial"/>
        </w:rPr>
      </w:pPr>
    </w:p>
    <w:p w:rsidR="00D91005" w:rsidRDefault="00D91005" w:rsidP="00975731">
      <w:pPr>
        <w:pStyle w:val="NoSpacing"/>
        <w:jc w:val="both"/>
        <w:rPr>
          <w:rFonts w:ascii="Arial" w:hAnsi="Arial" w:cs="Arial"/>
        </w:rPr>
      </w:pPr>
      <w:r w:rsidRPr="00975731">
        <w:rPr>
          <w:rFonts w:ascii="Arial" w:hAnsi="Arial" w:cs="Arial"/>
        </w:rPr>
        <w:t xml:space="preserve">Con relación a la evaluación del Control Interno Contable de conformidad con al Resolución 048 del 10 de febrero del 2004 de la Contaduría General de la Nación, el Control Interno contable tiene como objetivo lograr la efectividad en los mecanismos de control y verificación de procesos contables de la Entidad. </w:t>
      </w:r>
      <w:r>
        <w:rPr>
          <w:rFonts w:ascii="Arial" w:hAnsi="Arial" w:cs="Arial"/>
        </w:rPr>
        <w:t xml:space="preserve"> </w:t>
      </w:r>
      <w:r w:rsidRPr="00975731">
        <w:rPr>
          <w:rFonts w:ascii="Arial" w:hAnsi="Arial" w:cs="Arial"/>
        </w:rPr>
        <w:t xml:space="preserve">La Subdirección Operativa Administrativa y Financiera de la </w:t>
      </w:r>
      <w:r w:rsidRPr="00741D52">
        <w:rPr>
          <w:rFonts w:ascii="Arial" w:hAnsi="Arial" w:cs="Arial"/>
          <w:b/>
          <w:bCs/>
        </w:rPr>
        <w:t>CRQ</w:t>
      </w:r>
      <w:r w:rsidRPr="00975731">
        <w:rPr>
          <w:rFonts w:ascii="Arial" w:hAnsi="Arial" w:cs="Arial"/>
        </w:rPr>
        <w:t xml:space="preserve"> ha venido mejorando los procesos contables y continúa realizando  saneamiento de los Estados Financieros dentro del proceso de Sostenibilidad Contable, proceso que debe realizar en forma permanente.</w:t>
      </w:r>
    </w:p>
    <w:p w:rsidR="00D91005" w:rsidRDefault="00D91005" w:rsidP="00975731">
      <w:pPr>
        <w:pStyle w:val="NoSpacing"/>
        <w:jc w:val="both"/>
        <w:rPr>
          <w:rFonts w:ascii="Arial" w:hAnsi="Arial" w:cs="Arial"/>
        </w:rPr>
      </w:pPr>
    </w:p>
    <w:p w:rsidR="00D91005" w:rsidRPr="00CB7199" w:rsidRDefault="00D91005" w:rsidP="00975731">
      <w:pPr>
        <w:pStyle w:val="NoSpacing"/>
        <w:jc w:val="both"/>
        <w:rPr>
          <w:rFonts w:ascii="Arial" w:hAnsi="Arial" w:cs="Arial"/>
        </w:rPr>
      </w:pPr>
      <w:r w:rsidRPr="00CB7199">
        <w:rPr>
          <w:rFonts w:ascii="Arial" w:hAnsi="Arial" w:cs="Arial"/>
        </w:rPr>
        <w:t>En este proceso hubo acompañamiento por parte de la Oficina Asesora de Control Interno hasta el julio de</w:t>
      </w:r>
      <w:r>
        <w:rPr>
          <w:rFonts w:ascii="Arial" w:hAnsi="Arial" w:cs="Arial"/>
        </w:rPr>
        <w:t>l</w:t>
      </w:r>
      <w:r w:rsidRPr="00CB7199">
        <w:rPr>
          <w:rFonts w:ascii="Arial" w:hAnsi="Arial" w:cs="Arial"/>
        </w:rPr>
        <w:t xml:space="preserve"> 2010, fecha en la que tuvo un profesional Contador que acompañó el proceso de acuerdo a recomendación de la Revisoría Fiscal en periodos anteriores y a solicitud de la Asamblea Corporativa en el 2008; a partir de agosto no se ha contado con este profesional que apoye el fortalecimiento de control interno contable en la Entidad. </w:t>
      </w:r>
      <w:r>
        <w:rPr>
          <w:rFonts w:ascii="Arial" w:hAnsi="Arial" w:cs="Arial"/>
        </w:rPr>
        <w:t xml:space="preserve"> </w:t>
      </w:r>
      <w:r w:rsidRPr="00CB7199">
        <w:rPr>
          <w:rFonts w:ascii="Arial" w:hAnsi="Arial" w:cs="Arial"/>
        </w:rPr>
        <w:t xml:space="preserve">De acuerdo al anterior planteamiento y al seguimiento llevado a cabo por la Revisoría Fiscal en el 2010, considera que el Control Interno Contable en la </w:t>
      </w:r>
      <w:r w:rsidRPr="00741D52">
        <w:rPr>
          <w:rFonts w:ascii="Arial" w:hAnsi="Arial" w:cs="Arial"/>
          <w:b/>
          <w:bCs/>
        </w:rPr>
        <w:t>CRQ</w:t>
      </w:r>
      <w:r w:rsidRPr="00CB7199">
        <w:rPr>
          <w:rFonts w:ascii="Arial" w:hAnsi="Arial" w:cs="Arial"/>
        </w:rPr>
        <w:t xml:space="preserve"> es aceptable. </w:t>
      </w:r>
    </w:p>
    <w:p w:rsidR="00D91005" w:rsidRPr="00CB7199" w:rsidRDefault="00D91005" w:rsidP="004C34AF">
      <w:pPr>
        <w:jc w:val="both"/>
        <w:rPr>
          <w:rFonts w:ascii="Arial" w:hAnsi="Arial" w:cs="Arial"/>
        </w:rPr>
      </w:pPr>
    </w:p>
    <w:p w:rsidR="00D91005" w:rsidRPr="00CB7199" w:rsidRDefault="00D91005" w:rsidP="004C34AF">
      <w:pPr>
        <w:jc w:val="both"/>
        <w:rPr>
          <w:rFonts w:ascii="Arial" w:hAnsi="Arial" w:cs="Arial"/>
        </w:rPr>
      </w:pPr>
      <w:r w:rsidRPr="00CB7199">
        <w:rPr>
          <w:rFonts w:ascii="Arial" w:hAnsi="Arial" w:cs="Arial"/>
        </w:rPr>
        <w:t xml:space="preserve">Es mi opinión, </w:t>
      </w:r>
    </w:p>
    <w:p w:rsidR="00D91005" w:rsidRPr="00CB7199" w:rsidRDefault="00D91005" w:rsidP="004C34AF">
      <w:pPr>
        <w:jc w:val="both"/>
        <w:rPr>
          <w:rFonts w:ascii="Arial" w:hAnsi="Arial" w:cs="Arial"/>
        </w:rPr>
      </w:pPr>
    </w:p>
    <w:p w:rsidR="00D91005" w:rsidRPr="00CB7199" w:rsidRDefault="00D91005" w:rsidP="004C34AF">
      <w:pPr>
        <w:jc w:val="both"/>
        <w:rPr>
          <w:rFonts w:ascii="Arial" w:hAnsi="Arial" w:cs="Arial"/>
        </w:rPr>
      </w:pPr>
    </w:p>
    <w:p w:rsidR="00D91005" w:rsidRPr="00CB7199" w:rsidRDefault="00D91005" w:rsidP="004C34AF">
      <w:pPr>
        <w:pStyle w:val="NoSpacing"/>
        <w:rPr>
          <w:rFonts w:ascii="Arial" w:hAnsi="Arial" w:cs="Arial"/>
          <w:b/>
          <w:bCs/>
        </w:rPr>
      </w:pPr>
    </w:p>
    <w:p w:rsidR="00D91005" w:rsidRPr="00CB7199" w:rsidRDefault="00D91005" w:rsidP="004C34AF">
      <w:pPr>
        <w:pStyle w:val="NoSpacing"/>
        <w:rPr>
          <w:rFonts w:ascii="Arial" w:hAnsi="Arial" w:cs="Arial"/>
          <w:b/>
          <w:bCs/>
        </w:rPr>
      </w:pPr>
      <w:r>
        <w:rPr>
          <w:rFonts w:ascii="Arial" w:hAnsi="Arial" w:cs="Arial"/>
          <w:b/>
          <w:bCs/>
        </w:rPr>
        <w:t>GLORIA INÉS MARÍ</w:t>
      </w:r>
      <w:r w:rsidRPr="00CB7199">
        <w:rPr>
          <w:rFonts w:ascii="Arial" w:hAnsi="Arial" w:cs="Arial"/>
          <w:b/>
          <w:bCs/>
        </w:rPr>
        <w:t>N BETANCOURT</w:t>
      </w:r>
    </w:p>
    <w:p w:rsidR="00D91005" w:rsidRPr="00CB7199" w:rsidRDefault="00D91005" w:rsidP="004C34AF">
      <w:pPr>
        <w:pStyle w:val="NoSpacing"/>
        <w:rPr>
          <w:rFonts w:ascii="Arial" w:hAnsi="Arial" w:cs="Arial"/>
          <w:b/>
          <w:bCs/>
        </w:rPr>
      </w:pPr>
      <w:r w:rsidRPr="00CB7199">
        <w:rPr>
          <w:rFonts w:ascii="Arial" w:hAnsi="Arial" w:cs="Arial"/>
          <w:b/>
          <w:bCs/>
        </w:rPr>
        <w:t xml:space="preserve">Revisora Fiscal CRQ </w:t>
      </w:r>
    </w:p>
    <w:p w:rsidR="00D91005" w:rsidRPr="00CB7199" w:rsidRDefault="00D91005" w:rsidP="004C34AF">
      <w:pPr>
        <w:pStyle w:val="NoSpacing"/>
        <w:rPr>
          <w:rFonts w:ascii="Arial" w:hAnsi="Arial" w:cs="Arial"/>
          <w:b/>
          <w:bCs/>
        </w:rPr>
      </w:pPr>
      <w:r w:rsidRPr="00CB7199">
        <w:rPr>
          <w:rFonts w:ascii="Arial" w:hAnsi="Arial" w:cs="Arial"/>
          <w:b/>
          <w:bCs/>
        </w:rPr>
        <w:t xml:space="preserve">Tarjeta Profesional 18.296-T </w:t>
      </w:r>
    </w:p>
    <w:p w:rsidR="00D91005" w:rsidRPr="00CB7199" w:rsidRDefault="00D91005" w:rsidP="00CB7199">
      <w:pPr>
        <w:pStyle w:val="NoSpacing"/>
        <w:jc w:val="center"/>
        <w:rPr>
          <w:rFonts w:ascii="Arial" w:hAnsi="Arial" w:cs="Arial"/>
          <w:b/>
          <w:bCs/>
        </w:rPr>
      </w:pPr>
      <w:r w:rsidRPr="00CB7199">
        <w:br w:type="page"/>
      </w:r>
      <w:r>
        <w:rPr>
          <w:rFonts w:ascii="Arial" w:hAnsi="Arial" w:cs="Arial"/>
          <w:b/>
          <w:bCs/>
        </w:rPr>
        <w:t>ANEXO SOBRE ANÁ</w:t>
      </w:r>
      <w:r w:rsidRPr="00CB7199">
        <w:rPr>
          <w:rFonts w:ascii="Arial" w:hAnsi="Arial" w:cs="Arial"/>
          <w:b/>
          <w:bCs/>
        </w:rPr>
        <w:t xml:space="preserve">LISIS DEL ESTADO DE INGRESOS Y EGRESOS Y DEL RESULTADO DEL EJERCICIO A </w:t>
      </w:r>
      <w:r>
        <w:rPr>
          <w:rFonts w:ascii="Arial" w:hAnsi="Arial" w:cs="Arial"/>
          <w:b/>
          <w:bCs/>
        </w:rPr>
        <w:t xml:space="preserve">30 DE </w:t>
      </w:r>
      <w:r w:rsidRPr="00CB7199">
        <w:rPr>
          <w:rFonts w:ascii="Arial" w:hAnsi="Arial" w:cs="Arial"/>
          <w:b/>
          <w:bCs/>
        </w:rPr>
        <w:t xml:space="preserve">DICIEMBRE </w:t>
      </w:r>
      <w:r>
        <w:rPr>
          <w:rFonts w:ascii="Arial" w:hAnsi="Arial" w:cs="Arial"/>
          <w:b/>
          <w:bCs/>
        </w:rPr>
        <w:t xml:space="preserve">DEL </w:t>
      </w:r>
      <w:r w:rsidRPr="00CB7199">
        <w:rPr>
          <w:rFonts w:ascii="Arial" w:hAnsi="Arial" w:cs="Arial"/>
          <w:b/>
          <w:bCs/>
        </w:rPr>
        <w:t>2010</w:t>
      </w:r>
    </w:p>
    <w:p w:rsidR="00D91005" w:rsidRPr="00CB7199" w:rsidRDefault="00D91005" w:rsidP="00CB7199">
      <w:pPr>
        <w:pStyle w:val="NoSpacing"/>
        <w:jc w:val="center"/>
        <w:rPr>
          <w:b/>
          <w:bCs/>
        </w:rPr>
      </w:pPr>
    </w:p>
    <w:p w:rsidR="00D91005" w:rsidRPr="00974B9B" w:rsidRDefault="00D91005" w:rsidP="004C34AF">
      <w:pPr>
        <w:pStyle w:val="NoSpacing"/>
        <w:jc w:val="center"/>
        <w:rPr>
          <w:rFonts w:ascii="Arial" w:hAnsi="Arial" w:cs="Arial"/>
          <w:b/>
          <w:bCs/>
        </w:rPr>
      </w:pPr>
      <w:r w:rsidRPr="00974B9B">
        <w:rPr>
          <w:rFonts w:ascii="Arial" w:hAnsi="Arial" w:cs="Arial"/>
          <w:b/>
          <w:bCs/>
        </w:rPr>
        <w:t xml:space="preserve">(Valores en miles de pesos) </w:t>
      </w:r>
    </w:p>
    <w:p w:rsidR="00D91005" w:rsidRDefault="00D91005" w:rsidP="000B2B9A">
      <w:pPr>
        <w:pStyle w:val="NoSpacing"/>
        <w:rPr>
          <w:rFonts w:ascii="Arial" w:hAnsi="Arial" w:cs="Arial"/>
          <w:b/>
          <w:bCs/>
        </w:rPr>
      </w:pPr>
    </w:p>
    <w:tbl>
      <w:tblPr>
        <w:tblW w:w="9834" w:type="dxa"/>
        <w:jc w:val="center"/>
        <w:tblLook w:val="00A0"/>
      </w:tblPr>
      <w:tblGrid>
        <w:gridCol w:w="6832"/>
        <w:gridCol w:w="1440"/>
        <w:gridCol w:w="1562"/>
      </w:tblGrid>
      <w:tr w:rsidR="00D91005" w:rsidTr="00CB13C7">
        <w:trPr>
          <w:jc w:val="center"/>
        </w:trPr>
        <w:tc>
          <w:tcPr>
            <w:tcW w:w="6832" w:type="dxa"/>
          </w:tcPr>
          <w:p w:rsidR="00D91005" w:rsidRPr="00576319" w:rsidRDefault="00D91005" w:rsidP="000B2B9A">
            <w:pPr>
              <w:pStyle w:val="NoSpacing"/>
              <w:rPr>
                <w:rFonts w:ascii="Arial" w:hAnsi="Arial" w:cs="Arial"/>
                <w:b/>
                <w:bCs/>
              </w:rPr>
            </w:pPr>
            <w:r w:rsidRPr="00576319">
              <w:rPr>
                <w:rFonts w:ascii="Arial" w:hAnsi="Arial" w:cs="Arial"/>
                <w:b/>
                <w:bCs/>
              </w:rPr>
              <w:t>INGRESOS</w:t>
            </w:r>
          </w:p>
        </w:tc>
        <w:tc>
          <w:tcPr>
            <w:tcW w:w="1440" w:type="dxa"/>
          </w:tcPr>
          <w:p w:rsidR="00D91005" w:rsidRPr="00576319" w:rsidRDefault="00D91005" w:rsidP="00576319">
            <w:pPr>
              <w:pStyle w:val="NoSpacing"/>
              <w:jc w:val="right"/>
              <w:rPr>
                <w:rFonts w:ascii="Arial" w:hAnsi="Arial" w:cs="Arial"/>
                <w:b/>
                <w:bCs/>
              </w:rPr>
            </w:pPr>
          </w:p>
        </w:tc>
        <w:tc>
          <w:tcPr>
            <w:tcW w:w="1562" w:type="dxa"/>
          </w:tcPr>
          <w:p w:rsidR="00D91005" w:rsidRPr="00576319" w:rsidRDefault="00D91005" w:rsidP="00576319">
            <w:pPr>
              <w:pStyle w:val="NoSpacing"/>
              <w:jc w:val="right"/>
              <w:rPr>
                <w:rFonts w:ascii="Arial" w:hAnsi="Arial" w:cs="Arial"/>
                <w:b/>
                <w:bCs/>
              </w:rPr>
            </w:pPr>
            <w:r w:rsidRPr="00576319">
              <w:rPr>
                <w:rFonts w:ascii="Arial" w:hAnsi="Arial" w:cs="Arial"/>
                <w:b/>
                <w:bCs/>
              </w:rPr>
              <w:t>$13.376.299</w:t>
            </w:r>
          </w:p>
        </w:tc>
      </w:tr>
      <w:tr w:rsidR="00D91005" w:rsidTr="00CB13C7">
        <w:trPr>
          <w:jc w:val="center"/>
        </w:trPr>
        <w:tc>
          <w:tcPr>
            <w:tcW w:w="6832" w:type="dxa"/>
          </w:tcPr>
          <w:p w:rsidR="00D91005" w:rsidRPr="00576319" w:rsidRDefault="00D91005" w:rsidP="00CB13C7">
            <w:pPr>
              <w:pStyle w:val="NoSpacing"/>
              <w:jc w:val="both"/>
              <w:rPr>
                <w:rFonts w:ascii="Arial" w:hAnsi="Arial" w:cs="Arial"/>
              </w:rPr>
            </w:pPr>
            <w:r w:rsidRPr="00576319">
              <w:rPr>
                <w:rFonts w:ascii="Arial" w:hAnsi="Arial" w:cs="Arial"/>
              </w:rPr>
              <w:t xml:space="preserve">Ingresos </w:t>
            </w:r>
            <w:r>
              <w:rPr>
                <w:rFonts w:ascii="Arial" w:hAnsi="Arial" w:cs="Arial"/>
              </w:rPr>
              <w:t>N</w:t>
            </w:r>
            <w:r w:rsidRPr="00576319">
              <w:rPr>
                <w:rFonts w:ascii="Arial" w:hAnsi="Arial" w:cs="Arial"/>
              </w:rPr>
              <w:t>o Tributarios (Tasas, Multas, Sobretasa)</w:t>
            </w:r>
          </w:p>
        </w:tc>
        <w:tc>
          <w:tcPr>
            <w:tcW w:w="1440" w:type="dxa"/>
          </w:tcPr>
          <w:p w:rsidR="00D91005" w:rsidRPr="00576319" w:rsidRDefault="00D91005" w:rsidP="00576319">
            <w:pPr>
              <w:pStyle w:val="NoSpacing"/>
              <w:jc w:val="right"/>
              <w:rPr>
                <w:rFonts w:ascii="Arial" w:hAnsi="Arial" w:cs="Arial"/>
              </w:rPr>
            </w:pPr>
            <w:r w:rsidRPr="00576319">
              <w:rPr>
                <w:rFonts w:ascii="Arial" w:hAnsi="Arial" w:cs="Arial"/>
              </w:rPr>
              <w:t>$8.503.942</w:t>
            </w:r>
          </w:p>
        </w:tc>
        <w:tc>
          <w:tcPr>
            <w:tcW w:w="1562" w:type="dxa"/>
          </w:tcPr>
          <w:p w:rsidR="00D91005" w:rsidRPr="00576319" w:rsidRDefault="00D91005" w:rsidP="00576319">
            <w:pPr>
              <w:pStyle w:val="NoSpacing"/>
              <w:jc w:val="right"/>
              <w:rPr>
                <w:rFonts w:ascii="Arial" w:hAnsi="Arial" w:cs="Arial"/>
              </w:rPr>
            </w:pPr>
          </w:p>
        </w:tc>
      </w:tr>
      <w:tr w:rsidR="00D91005" w:rsidTr="00CB13C7">
        <w:trPr>
          <w:jc w:val="center"/>
        </w:trPr>
        <w:tc>
          <w:tcPr>
            <w:tcW w:w="6832" w:type="dxa"/>
          </w:tcPr>
          <w:p w:rsidR="00D91005" w:rsidRPr="00576319" w:rsidRDefault="00D91005" w:rsidP="00CB13C7">
            <w:pPr>
              <w:pStyle w:val="NoSpacing"/>
              <w:jc w:val="both"/>
              <w:rPr>
                <w:rFonts w:ascii="Arial" w:hAnsi="Arial" w:cs="Arial"/>
              </w:rPr>
            </w:pPr>
            <w:r w:rsidRPr="00576319">
              <w:rPr>
                <w:rFonts w:ascii="Arial" w:hAnsi="Arial" w:cs="Arial"/>
              </w:rPr>
              <w:t>Ingreso</w:t>
            </w:r>
            <w:r>
              <w:rPr>
                <w:rFonts w:ascii="Arial" w:hAnsi="Arial" w:cs="Arial"/>
              </w:rPr>
              <w:t>s</w:t>
            </w:r>
            <w:r w:rsidRPr="00576319">
              <w:rPr>
                <w:rFonts w:ascii="Arial" w:hAnsi="Arial" w:cs="Arial"/>
              </w:rPr>
              <w:t xml:space="preserve"> por Venta de Bienes (Agropecuario</w:t>
            </w:r>
            <w:r>
              <w:rPr>
                <w:rFonts w:ascii="Arial" w:hAnsi="Arial" w:cs="Arial"/>
              </w:rPr>
              <w:t>s</w:t>
            </w:r>
            <w:r w:rsidRPr="00576319">
              <w:rPr>
                <w:rFonts w:ascii="Arial" w:hAnsi="Arial" w:cs="Arial"/>
              </w:rPr>
              <w:t>, Bienes Comerciales)</w:t>
            </w:r>
          </w:p>
        </w:tc>
        <w:tc>
          <w:tcPr>
            <w:tcW w:w="1440" w:type="dxa"/>
          </w:tcPr>
          <w:p w:rsidR="00D91005" w:rsidRPr="00576319" w:rsidRDefault="00D91005" w:rsidP="00576319">
            <w:pPr>
              <w:pStyle w:val="NoSpacing"/>
              <w:jc w:val="right"/>
              <w:rPr>
                <w:rFonts w:ascii="Arial" w:hAnsi="Arial" w:cs="Arial"/>
              </w:rPr>
            </w:pPr>
            <w:r w:rsidRPr="00576319">
              <w:rPr>
                <w:rFonts w:ascii="Arial" w:hAnsi="Arial" w:cs="Arial"/>
              </w:rPr>
              <w:t>$4.250</w:t>
            </w:r>
          </w:p>
        </w:tc>
        <w:tc>
          <w:tcPr>
            <w:tcW w:w="1562" w:type="dxa"/>
          </w:tcPr>
          <w:p w:rsidR="00D91005" w:rsidRPr="00576319" w:rsidRDefault="00D91005" w:rsidP="00576319">
            <w:pPr>
              <w:pStyle w:val="NoSpacing"/>
              <w:jc w:val="right"/>
              <w:rPr>
                <w:rFonts w:ascii="Arial" w:hAnsi="Arial" w:cs="Arial"/>
              </w:rPr>
            </w:pPr>
          </w:p>
        </w:tc>
      </w:tr>
      <w:tr w:rsidR="00D91005" w:rsidTr="00CB13C7">
        <w:trPr>
          <w:jc w:val="center"/>
        </w:trPr>
        <w:tc>
          <w:tcPr>
            <w:tcW w:w="6832" w:type="dxa"/>
          </w:tcPr>
          <w:p w:rsidR="00D91005" w:rsidRPr="00CB13C7" w:rsidRDefault="00D91005" w:rsidP="00CB13C7">
            <w:pPr>
              <w:pStyle w:val="NoSpacing"/>
              <w:jc w:val="both"/>
              <w:rPr>
                <w:rFonts w:ascii="Arial" w:hAnsi="Arial" w:cs="Arial"/>
              </w:rPr>
            </w:pPr>
            <w:r w:rsidRPr="00CB7199">
              <w:rPr>
                <w:rFonts w:ascii="Arial" w:hAnsi="Arial" w:cs="Arial"/>
              </w:rPr>
              <w:t>Ing</w:t>
            </w:r>
            <w:r>
              <w:rPr>
                <w:rFonts w:ascii="Arial" w:hAnsi="Arial" w:cs="Arial"/>
              </w:rPr>
              <w:t xml:space="preserve">resos por </w:t>
            </w:r>
            <w:r w:rsidRPr="00CB7199">
              <w:rPr>
                <w:rFonts w:ascii="Arial" w:hAnsi="Arial" w:cs="Arial"/>
              </w:rPr>
              <w:t>Venta de Servicios (Asist</w:t>
            </w:r>
            <w:r>
              <w:rPr>
                <w:rFonts w:ascii="Arial" w:hAnsi="Arial" w:cs="Arial"/>
              </w:rPr>
              <w:t xml:space="preserve">encia Técnica </w:t>
            </w:r>
            <w:r w:rsidRPr="00CB7199">
              <w:rPr>
                <w:rFonts w:ascii="Arial" w:hAnsi="Arial" w:cs="Arial"/>
              </w:rPr>
              <w:t>C</w:t>
            </w:r>
            <w:r>
              <w:rPr>
                <w:rFonts w:ascii="Arial" w:hAnsi="Arial" w:cs="Arial"/>
              </w:rPr>
              <w:t>NPEG)</w:t>
            </w:r>
          </w:p>
        </w:tc>
        <w:tc>
          <w:tcPr>
            <w:tcW w:w="1440" w:type="dxa"/>
          </w:tcPr>
          <w:p w:rsidR="00D91005" w:rsidRPr="00576319" w:rsidRDefault="00D91005" w:rsidP="00576319">
            <w:pPr>
              <w:pStyle w:val="NoSpacing"/>
              <w:jc w:val="right"/>
              <w:rPr>
                <w:rFonts w:ascii="Arial" w:hAnsi="Arial" w:cs="Arial"/>
              </w:rPr>
            </w:pPr>
            <w:r>
              <w:rPr>
                <w:rFonts w:ascii="Arial" w:hAnsi="Arial" w:cs="Arial"/>
              </w:rPr>
              <w:t>$442.230</w:t>
            </w:r>
          </w:p>
        </w:tc>
        <w:tc>
          <w:tcPr>
            <w:tcW w:w="1562" w:type="dxa"/>
          </w:tcPr>
          <w:p w:rsidR="00D91005" w:rsidRPr="00576319" w:rsidRDefault="00D91005" w:rsidP="00576319">
            <w:pPr>
              <w:pStyle w:val="NoSpacing"/>
              <w:jc w:val="right"/>
              <w:rPr>
                <w:rFonts w:ascii="Arial" w:hAnsi="Arial" w:cs="Arial"/>
              </w:rPr>
            </w:pPr>
          </w:p>
        </w:tc>
      </w:tr>
      <w:tr w:rsidR="00D91005">
        <w:trPr>
          <w:jc w:val="center"/>
        </w:trPr>
        <w:tc>
          <w:tcPr>
            <w:tcW w:w="6832" w:type="dxa"/>
          </w:tcPr>
          <w:p w:rsidR="00D91005" w:rsidRPr="00CB7199" w:rsidRDefault="00D91005" w:rsidP="00CB13C7">
            <w:pPr>
              <w:pStyle w:val="NoSpacing"/>
              <w:jc w:val="both"/>
              <w:rPr>
                <w:rFonts w:ascii="Arial" w:hAnsi="Arial" w:cs="Arial"/>
              </w:rPr>
            </w:pPr>
            <w:r w:rsidRPr="00CB7199">
              <w:rPr>
                <w:rFonts w:ascii="Arial" w:hAnsi="Arial" w:cs="Arial"/>
              </w:rPr>
              <w:t>Transferencias (Entidades Gubernamentales)</w:t>
            </w:r>
          </w:p>
        </w:tc>
        <w:tc>
          <w:tcPr>
            <w:tcW w:w="1440" w:type="dxa"/>
          </w:tcPr>
          <w:p w:rsidR="00D91005" w:rsidRPr="00576319" w:rsidRDefault="00D91005" w:rsidP="00576319">
            <w:pPr>
              <w:pStyle w:val="NoSpacing"/>
              <w:jc w:val="right"/>
              <w:rPr>
                <w:rFonts w:ascii="Arial" w:hAnsi="Arial" w:cs="Arial"/>
              </w:rPr>
            </w:pPr>
            <w:r>
              <w:rPr>
                <w:rFonts w:ascii="Arial" w:hAnsi="Arial" w:cs="Arial"/>
              </w:rPr>
              <w:t>$368.323</w:t>
            </w:r>
          </w:p>
        </w:tc>
        <w:tc>
          <w:tcPr>
            <w:tcW w:w="1562" w:type="dxa"/>
          </w:tcPr>
          <w:p w:rsidR="00D91005" w:rsidRPr="00576319" w:rsidRDefault="00D91005" w:rsidP="00576319">
            <w:pPr>
              <w:pStyle w:val="NoSpacing"/>
              <w:jc w:val="right"/>
              <w:rPr>
                <w:rFonts w:ascii="Arial" w:hAnsi="Arial" w:cs="Arial"/>
              </w:rPr>
            </w:pPr>
          </w:p>
        </w:tc>
      </w:tr>
      <w:tr w:rsidR="00D91005" w:rsidTr="00CB13C7">
        <w:trPr>
          <w:jc w:val="center"/>
        </w:trPr>
        <w:tc>
          <w:tcPr>
            <w:tcW w:w="6832" w:type="dxa"/>
          </w:tcPr>
          <w:p w:rsidR="00D91005" w:rsidRPr="00CB7199" w:rsidRDefault="00D91005" w:rsidP="00CB13C7">
            <w:pPr>
              <w:pStyle w:val="NoSpacing"/>
              <w:jc w:val="both"/>
              <w:rPr>
                <w:rFonts w:ascii="Arial" w:hAnsi="Arial" w:cs="Arial"/>
              </w:rPr>
            </w:pPr>
            <w:r w:rsidRPr="00CB7199">
              <w:rPr>
                <w:rFonts w:ascii="Arial" w:hAnsi="Arial" w:cs="Arial"/>
              </w:rPr>
              <w:t>Operaciones Interinstituc</w:t>
            </w:r>
            <w:r>
              <w:rPr>
                <w:rFonts w:ascii="Arial" w:hAnsi="Arial" w:cs="Arial"/>
              </w:rPr>
              <w:t>ionales</w:t>
            </w:r>
            <w:r w:rsidRPr="00CB7199">
              <w:rPr>
                <w:rFonts w:ascii="Arial" w:hAnsi="Arial" w:cs="Arial"/>
              </w:rPr>
              <w:t xml:space="preserve"> (Direc</w:t>
            </w:r>
            <w:r>
              <w:rPr>
                <w:rFonts w:ascii="Arial" w:hAnsi="Arial" w:cs="Arial"/>
              </w:rPr>
              <w:t>ción</w:t>
            </w:r>
            <w:r w:rsidRPr="00CB7199">
              <w:rPr>
                <w:rFonts w:ascii="Arial" w:hAnsi="Arial" w:cs="Arial"/>
              </w:rPr>
              <w:t xml:space="preserve"> Tesor</w:t>
            </w:r>
            <w:r>
              <w:rPr>
                <w:rFonts w:ascii="Arial" w:hAnsi="Arial" w:cs="Arial"/>
              </w:rPr>
              <w:t>o</w:t>
            </w:r>
            <w:r w:rsidRPr="00CB7199">
              <w:rPr>
                <w:rFonts w:ascii="Arial" w:hAnsi="Arial" w:cs="Arial"/>
              </w:rPr>
              <w:t xml:space="preserve"> Na</w:t>
            </w:r>
            <w:r>
              <w:rPr>
                <w:rFonts w:ascii="Arial" w:hAnsi="Arial" w:cs="Arial"/>
              </w:rPr>
              <w:t>cional</w:t>
            </w:r>
            <w:r w:rsidRPr="00CB7199">
              <w:rPr>
                <w:rFonts w:ascii="Arial" w:hAnsi="Arial" w:cs="Arial"/>
              </w:rPr>
              <w:t>)</w:t>
            </w:r>
            <w:r w:rsidRPr="00CB7199">
              <w:rPr>
                <w:rFonts w:ascii="Arial" w:hAnsi="Arial" w:cs="Arial"/>
              </w:rPr>
              <w:tab/>
            </w:r>
          </w:p>
        </w:tc>
        <w:tc>
          <w:tcPr>
            <w:tcW w:w="1440" w:type="dxa"/>
          </w:tcPr>
          <w:p w:rsidR="00D91005" w:rsidRPr="00576319" w:rsidRDefault="00D91005" w:rsidP="00576319">
            <w:pPr>
              <w:pStyle w:val="NoSpacing"/>
              <w:jc w:val="right"/>
              <w:rPr>
                <w:rFonts w:ascii="Arial" w:hAnsi="Arial" w:cs="Arial"/>
              </w:rPr>
            </w:pPr>
            <w:r>
              <w:rPr>
                <w:rFonts w:ascii="Arial" w:hAnsi="Arial" w:cs="Arial"/>
              </w:rPr>
              <w:t>$3.842.785</w:t>
            </w:r>
          </w:p>
        </w:tc>
        <w:tc>
          <w:tcPr>
            <w:tcW w:w="1562" w:type="dxa"/>
          </w:tcPr>
          <w:p w:rsidR="00D91005" w:rsidRPr="00576319" w:rsidRDefault="00D91005" w:rsidP="00576319">
            <w:pPr>
              <w:pStyle w:val="NoSpacing"/>
              <w:jc w:val="right"/>
              <w:rPr>
                <w:rFonts w:ascii="Arial" w:hAnsi="Arial" w:cs="Arial"/>
              </w:rPr>
            </w:pPr>
          </w:p>
        </w:tc>
      </w:tr>
      <w:tr w:rsidR="00D91005" w:rsidTr="00CB13C7">
        <w:trPr>
          <w:jc w:val="center"/>
        </w:trPr>
        <w:tc>
          <w:tcPr>
            <w:tcW w:w="6832" w:type="dxa"/>
          </w:tcPr>
          <w:p w:rsidR="00D91005" w:rsidRPr="00CB7199" w:rsidRDefault="00D91005" w:rsidP="00CB13C7">
            <w:pPr>
              <w:pStyle w:val="NoSpacing"/>
              <w:jc w:val="both"/>
              <w:rPr>
                <w:rFonts w:ascii="Arial" w:hAnsi="Arial" w:cs="Arial"/>
              </w:rPr>
            </w:pPr>
            <w:r w:rsidRPr="00CB7199">
              <w:rPr>
                <w:rFonts w:ascii="Arial" w:hAnsi="Arial" w:cs="Arial"/>
              </w:rPr>
              <w:t>Otros Ingresos (F</w:t>
            </w:r>
            <w:r>
              <w:rPr>
                <w:rFonts w:ascii="Arial" w:hAnsi="Arial" w:cs="Arial"/>
              </w:rPr>
              <w:t>inancieros, Extraordinarios</w:t>
            </w:r>
            <w:r w:rsidRPr="00CB7199">
              <w:rPr>
                <w:rFonts w:ascii="Arial" w:hAnsi="Arial" w:cs="Arial"/>
              </w:rPr>
              <w:t xml:space="preserve"> y Ajustes)</w:t>
            </w:r>
          </w:p>
        </w:tc>
        <w:tc>
          <w:tcPr>
            <w:tcW w:w="1440" w:type="dxa"/>
            <w:tcBorders>
              <w:bottom w:val="single" w:sz="4" w:space="0" w:color="auto"/>
            </w:tcBorders>
          </w:tcPr>
          <w:p w:rsidR="00D91005" w:rsidRPr="00576319" w:rsidRDefault="00D91005" w:rsidP="00576319">
            <w:pPr>
              <w:pStyle w:val="NoSpacing"/>
              <w:jc w:val="right"/>
              <w:rPr>
                <w:rFonts w:ascii="Arial" w:hAnsi="Arial" w:cs="Arial"/>
              </w:rPr>
            </w:pPr>
            <w:r>
              <w:rPr>
                <w:rFonts w:ascii="Arial" w:hAnsi="Arial" w:cs="Arial"/>
              </w:rPr>
              <w:t>$214.769</w:t>
            </w:r>
          </w:p>
        </w:tc>
        <w:tc>
          <w:tcPr>
            <w:tcW w:w="1562" w:type="dxa"/>
          </w:tcPr>
          <w:p w:rsidR="00D91005" w:rsidRPr="00576319" w:rsidRDefault="00D91005" w:rsidP="00576319">
            <w:pPr>
              <w:pStyle w:val="NoSpacing"/>
              <w:jc w:val="right"/>
              <w:rPr>
                <w:rFonts w:ascii="Arial" w:hAnsi="Arial" w:cs="Arial"/>
              </w:rPr>
            </w:pPr>
          </w:p>
        </w:tc>
      </w:tr>
    </w:tbl>
    <w:p w:rsidR="00D91005" w:rsidRDefault="00D91005" w:rsidP="000B2B9A">
      <w:pPr>
        <w:pStyle w:val="NoSpacing"/>
        <w:rPr>
          <w:rFonts w:ascii="Arial" w:hAnsi="Arial" w:cs="Arial"/>
          <w:b/>
          <w:bCs/>
        </w:rPr>
      </w:pPr>
    </w:p>
    <w:tbl>
      <w:tblPr>
        <w:tblW w:w="9834" w:type="dxa"/>
        <w:jc w:val="center"/>
        <w:tblLook w:val="00A0"/>
      </w:tblPr>
      <w:tblGrid>
        <w:gridCol w:w="6832"/>
        <w:gridCol w:w="1440"/>
        <w:gridCol w:w="1562"/>
      </w:tblGrid>
      <w:tr w:rsidR="00D91005" w:rsidTr="009C5902">
        <w:trPr>
          <w:jc w:val="center"/>
        </w:trPr>
        <w:tc>
          <w:tcPr>
            <w:tcW w:w="6832" w:type="dxa"/>
          </w:tcPr>
          <w:p w:rsidR="00D91005" w:rsidRPr="00576319" w:rsidRDefault="00D91005" w:rsidP="009C5902">
            <w:pPr>
              <w:pStyle w:val="NoSpacing"/>
              <w:rPr>
                <w:rFonts w:ascii="Arial" w:hAnsi="Arial" w:cs="Arial"/>
                <w:b/>
                <w:bCs/>
              </w:rPr>
            </w:pPr>
            <w:r>
              <w:rPr>
                <w:rFonts w:ascii="Arial" w:hAnsi="Arial" w:cs="Arial"/>
                <w:b/>
                <w:bCs/>
              </w:rPr>
              <w:t>EGRESOS</w:t>
            </w:r>
          </w:p>
        </w:tc>
        <w:tc>
          <w:tcPr>
            <w:tcW w:w="1440" w:type="dxa"/>
          </w:tcPr>
          <w:p w:rsidR="00D91005" w:rsidRPr="00576319" w:rsidRDefault="00D91005" w:rsidP="009C5902">
            <w:pPr>
              <w:pStyle w:val="NoSpacing"/>
              <w:jc w:val="right"/>
              <w:rPr>
                <w:rFonts w:ascii="Arial" w:hAnsi="Arial" w:cs="Arial"/>
                <w:b/>
                <w:bCs/>
              </w:rPr>
            </w:pPr>
          </w:p>
        </w:tc>
        <w:tc>
          <w:tcPr>
            <w:tcW w:w="1562" w:type="dxa"/>
          </w:tcPr>
          <w:p w:rsidR="00D91005" w:rsidRPr="00576319" w:rsidRDefault="00D91005" w:rsidP="009C5902">
            <w:pPr>
              <w:pStyle w:val="NoSpacing"/>
              <w:jc w:val="right"/>
              <w:rPr>
                <w:rFonts w:ascii="Arial" w:hAnsi="Arial" w:cs="Arial"/>
                <w:b/>
                <w:bCs/>
              </w:rPr>
            </w:pPr>
          </w:p>
        </w:tc>
      </w:tr>
      <w:tr w:rsidR="00D91005" w:rsidTr="009C5902">
        <w:trPr>
          <w:jc w:val="center"/>
        </w:trPr>
        <w:tc>
          <w:tcPr>
            <w:tcW w:w="6832" w:type="dxa"/>
          </w:tcPr>
          <w:p w:rsidR="00D91005" w:rsidRPr="00576319" w:rsidRDefault="00D91005" w:rsidP="009C5902">
            <w:pPr>
              <w:pStyle w:val="NoSpacing"/>
              <w:jc w:val="both"/>
              <w:rPr>
                <w:rFonts w:ascii="Arial" w:hAnsi="Arial" w:cs="Arial"/>
              </w:rPr>
            </w:pPr>
            <w:r>
              <w:rPr>
                <w:rFonts w:ascii="Arial" w:hAnsi="Arial" w:cs="Arial"/>
              </w:rPr>
              <w:t>Gastos Administrativos (Sueldos, Gastos Generales y Varios)</w:t>
            </w:r>
          </w:p>
        </w:tc>
        <w:tc>
          <w:tcPr>
            <w:tcW w:w="1440" w:type="dxa"/>
          </w:tcPr>
          <w:p w:rsidR="00D91005" w:rsidRPr="00576319" w:rsidRDefault="00D91005" w:rsidP="009C5902">
            <w:pPr>
              <w:pStyle w:val="NoSpacing"/>
              <w:jc w:val="right"/>
              <w:rPr>
                <w:rFonts w:ascii="Arial" w:hAnsi="Arial" w:cs="Arial"/>
              </w:rPr>
            </w:pPr>
            <w:r>
              <w:rPr>
                <w:rFonts w:ascii="Arial" w:hAnsi="Arial" w:cs="Arial"/>
              </w:rPr>
              <w:t>$</w:t>
            </w:r>
            <w:r w:rsidRPr="00CB7199">
              <w:rPr>
                <w:rFonts w:ascii="Arial" w:hAnsi="Arial" w:cs="Arial"/>
              </w:rPr>
              <w:t>3.924.595</w:t>
            </w:r>
          </w:p>
        </w:tc>
        <w:tc>
          <w:tcPr>
            <w:tcW w:w="1562" w:type="dxa"/>
          </w:tcPr>
          <w:p w:rsidR="00D91005" w:rsidRPr="00576319" w:rsidRDefault="00D91005" w:rsidP="009C5902">
            <w:pPr>
              <w:pStyle w:val="NoSpacing"/>
              <w:jc w:val="right"/>
              <w:rPr>
                <w:rFonts w:ascii="Arial" w:hAnsi="Arial" w:cs="Arial"/>
              </w:rPr>
            </w:pPr>
          </w:p>
        </w:tc>
      </w:tr>
      <w:tr w:rsidR="00D91005" w:rsidTr="0099196C">
        <w:trPr>
          <w:jc w:val="center"/>
        </w:trPr>
        <w:tc>
          <w:tcPr>
            <w:tcW w:w="6832" w:type="dxa"/>
          </w:tcPr>
          <w:p w:rsidR="00D91005" w:rsidRPr="00576319" w:rsidRDefault="00D91005" w:rsidP="009C5902">
            <w:pPr>
              <w:pStyle w:val="NoSpacing"/>
              <w:jc w:val="both"/>
              <w:rPr>
                <w:rFonts w:ascii="Arial" w:hAnsi="Arial" w:cs="Arial"/>
              </w:rPr>
            </w:pPr>
            <w:r w:rsidRPr="00CB7199">
              <w:rPr>
                <w:rFonts w:ascii="Arial" w:hAnsi="Arial" w:cs="Arial"/>
              </w:rPr>
              <w:t>Gastos Público Social (Proyectos Inversió</w:t>
            </w:r>
            <w:r>
              <w:rPr>
                <w:rFonts w:ascii="Arial" w:hAnsi="Arial" w:cs="Arial"/>
              </w:rPr>
              <w:t>n)</w:t>
            </w:r>
          </w:p>
        </w:tc>
        <w:tc>
          <w:tcPr>
            <w:tcW w:w="1440" w:type="dxa"/>
          </w:tcPr>
          <w:p w:rsidR="00D91005" w:rsidRPr="00576319" w:rsidRDefault="00D91005" w:rsidP="009C5902">
            <w:pPr>
              <w:pStyle w:val="NoSpacing"/>
              <w:jc w:val="right"/>
              <w:rPr>
                <w:rFonts w:ascii="Arial" w:hAnsi="Arial" w:cs="Arial"/>
              </w:rPr>
            </w:pPr>
            <w:r>
              <w:rPr>
                <w:rFonts w:ascii="Arial" w:hAnsi="Arial" w:cs="Arial"/>
              </w:rPr>
              <w:t>$8.163.670</w:t>
            </w:r>
          </w:p>
        </w:tc>
        <w:tc>
          <w:tcPr>
            <w:tcW w:w="1562" w:type="dxa"/>
          </w:tcPr>
          <w:p w:rsidR="00D91005" w:rsidRPr="00576319" w:rsidRDefault="00D91005" w:rsidP="009C5902">
            <w:pPr>
              <w:pStyle w:val="NoSpacing"/>
              <w:jc w:val="right"/>
              <w:rPr>
                <w:rFonts w:ascii="Arial" w:hAnsi="Arial" w:cs="Arial"/>
              </w:rPr>
            </w:pPr>
          </w:p>
        </w:tc>
      </w:tr>
      <w:tr w:rsidR="00D91005" w:rsidTr="0099196C">
        <w:trPr>
          <w:jc w:val="center"/>
        </w:trPr>
        <w:tc>
          <w:tcPr>
            <w:tcW w:w="6832" w:type="dxa"/>
          </w:tcPr>
          <w:p w:rsidR="00D91005" w:rsidRPr="00CB13C7" w:rsidRDefault="00D91005" w:rsidP="009C5902">
            <w:pPr>
              <w:pStyle w:val="NoSpacing"/>
              <w:jc w:val="both"/>
              <w:rPr>
                <w:rFonts w:ascii="Arial" w:hAnsi="Arial" w:cs="Arial"/>
              </w:rPr>
            </w:pPr>
            <w:r>
              <w:rPr>
                <w:rFonts w:ascii="Arial" w:hAnsi="Arial" w:cs="Arial"/>
              </w:rPr>
              <w:t xml:space="preserve">Gastos Financieros </w:t>
            </w:r>
            <w:r w:rsidRPr="00CB7199">
              <w:rPr>
                <w:rFonts w:ascii="Arial" w:hAnsi="Arial" w:cs="Arial"/>
              </w:rPr>
              <w:t>y Extraordinario</w:t>
            </w:r>
            <w:r>
              <w:rPr>
                <w:rFonts w:ascii="Arial" w:hAnsi="Arial" w:cs="Arial"/>
              </w:rPr>
              <w:t>s</w:t>
            </w:r>
          </w:p>
        </w:tc>
        <w:tc>
          <w:tcPr>
            <w:tcW w:w="1440" w:type="dxa"/>
            <w:tcBorders>
              <w:bottom w:val="single" w:sz="4" w:space="0" w:color="auto"/>
            </w:tcBorders>
          </w:tcPr>
          <w:p w:rsidR="00D91005" w:rsidRPr="00576319" w:rsidRDefault="00D91005" w:rsidP="009C5902">
            <w:pPr>
              <w:pStyle w:val="NoSpacing"/>
              <w:jc w:val="right"/>
              <w:rPr>
                <w:rFonts w:ascii="Arial" w:hAnsi="Arial" w:cs="Arial"/>
              </w:rPr>
            </w:pPr>
            <w:r>
              <w:rPr>
                <w:rFonts w:ascii="Arial" w:hAnsi="Arial" w:cs="Arial"/>
              </w:rPr>
              <w:t>$25.483</w:t>
            </w:r>
          </w:p>
        </w:tc>
        <w:tc>
          <w:tcPr>
            <w:tcW w:w="1562" w:type="dxa"/>
          </w:tcPr>
          <w:p w:rsidR="00D91005" w:rsidRPr="00576319" w:rsidRDefault="00D91005" w:rsidP="009C5902">
            <w:pPr>
              <w:pStyle w:val="NoSpacing"/>
              <w:jc w:val="right"/>
              <w:rPr>
                <w:rFonts w:ascii="Arial" w:hAnsi="Arial" w:cs="Arial"/>
              </w:rPr>
            </w:pPr>
          </w:p>
        </w:tc>
      </w:tr>
      <w:tr w:rsidR="00D91005" w:rsidTr="0099196C">
        <w:trPr>
          <w:jc w:val="center"/>
        </w:trPr>
        <w:tc>
          <w:tcPr>
            <w:tcW w:w="6832" w:type="dxa"/>
          </w:tcPr>
          <w:p w:rsidR="00D91005" w:rsidRPr="00CB7199" w:rsidRDefault="00D91005" w:rsidP="009C5902">
            <w:pPr>
              <w:pStyle w:val="NoSpacing"/>
              <w:jc w:val="both"/>
              <w:rPr>
                <w:rFonts w:ascii="Arial" w:hAnsi="Arial" w:cs="Arial"/>
              </w:rPr>
            </w:pPr>
            <w:r w:rsidRPr="00CB7199">
              <w:rPr>
                <w:rFonts w:ascii="Arial" w:hAnsi="Arial" w:cs="Arial"/>
              </w:rPr>
              <w:t xml:space="preserve">Total Gastos de Operación </w:t>
            </w:r>
            <w:r w:rsidRPr="00CB7199">
              <w:rPr>
                <w:rFonts w:ascii="Arial" w:hAnsi="Arial" w:cs="Arial"/>
              </w:rPr>
              <w:tab/>
            </w:r>
            <w:r w:rsidRPr="00CB7199">
              <w:rPr>
                <w:rFonts w:ascii="Arial" w:hAnsi="Arial" w:cs="Arial"/>
              </w:rPr>
              <w:tab/>
            </w:r>
            <w:r w:rsidRPr="00CB7199">
              <w:rPr>
                <w:rFonts w:ascii="Arial" w:hAnsi="Arial" w:cs="Arial"/>
              </w:rPr>
              <w:tab/>
            </w:r>
            <w:r w:rsidRPr="00CB7199">
              <w:rPr>
                <w:rFonts w:ascii="Arial" w:hAnsi="Arial" w:cs="Arial"/>
              </w:rPr>
              <w:tab/>
            </w:r>
            <w:r w:rsidRPr="00CB7199">
              <w:rPr>
                <w:rFonts w:ascii="Arial" w:hAnsi="Arial" w:cs="Arial"/>
              </w:rPr>
              <w:tab/>
              <w:t xml:space="preserve">                     </w:t>
            </w:r>
          </w:p>
        </w:tc>
        <w:tc>
          <w:tcPr>
            <w:tcW w:w="1440" w:type="dxa"/>
            <w:tcBorders>
              <w:top w:val="single" w:sz="4" w:space="0" w:color="auto"/>
            </w:tcBorders>
          </w:tcPr>
          <w:p w:rsidR="00D91005" w:rsidRPr="00576319" w:rsidRDefault="00D91005" w:rsidP="009C5902">
            <w:pPr>
              <w:pStyle w:val="NoSpacing"/>
              <w:jc w:val="right"/>
              <w:rPr>
                <w:rFonts w:ascii="Arial" w:hAnsi="Arial" w:cs="Arial"/>
              </w:rPr>
            </w:pPr>
          </w:p>
        </w:tc>
        <w:tc>
          <w:tcPr>
            <w:tcW w:w="1562" w:type="dxa"/>
            <w:tcBorders>
              <w:bottom w:val="single" w:sz="4" w:space="0" w:color="auto"/>
            </w:tcBorders>
          </w:tcPr>
          <w:p w:rsidR="00D91005" w:rsidRPr="0099196C" w:rsidRDefault="00D91005" w:rsidP="009C5902">
            <w:pPr>
              <w:pStyle w:val="NoSpacing"/>
              <w:jc w:val="right"/>
              <w:rPr>
                <w:rFonts w:ascii="Arial" w:hAnsi="Arial" w:cs="Arial"/>
              </w:rPr>
            </w:pPr>
            <w:r>
              <w:rPr>
                <w:rFonts w:ascii="Arial" w:hAnsi="Arial" w:cs="Arial"/>
                <w:b/>
                <w:bCs/>
              </w:rPr>
              <w:t>$</w:t>
            </w:r>
            <w:r w:rsidRPr="0099196C">
              <w:rPr>
                <w:rFonts w:ascii="Arial" w:hAnsi="Arial" w:cs="Arial"/>
                <w:b/>
                <w:bCs/>
              </w:rPr>
              <w:t>-</w:t>
            </w:r>
            <w:r w:rsidRPr="0099196C">
              <w:rPr>
                <w:rFonts w:ascii="Arial" w:hAnsi="Arial" w:cs="Arial"/>
              </w:rPr>
              <w:t>12.113.748</w:t>
            </w:r>
          </w:p>
        </w:tc>
      </w:tr>
      <w:tr w:rsidR="00D91005" w:rsidTr="0099196C">
        <w:trPr>
          <w:jc w:val="center"/>
        </w:trPr>
        <w:tc>
          <w:tcPr>
            <w:tcW w:w="6832" w:type="dxa"/>
          </w:tcPr>
          <w:p w:rsidR="00D91005" w:rsidRPr="0099196C" w:rsidRDefault="00D91005" w:rsidP="0099196C">
            <w:pPr>
              <w:pStyle w:val="NoSpacing"/>
              <w:rPr>
                <w:rFonts w:ascii="Arial" w:hAnsi="Arial" w:cs="Arial"/>
                <w:b/>
                <w:bCs/>
              </w:rPr>
            </w:pPr>
            <w:r w:rsidRPr="00CB7199">
              <w:rPr>
                <w:rFonts w:ascii="Arial" w:hAnsi="Arial" w:cs="Arial"/>
                <w:b/>
                <w:bCs/>
              </w:rPr>
              <w:t>Excedente Operacional</w:t>
            </w:r>
          </w:p>
        </w:tc>
        <w:tc>
          <w:tcPr>
            <w:tcW w:w="1440" w:type="dxa"/>
          </w:tcPr>
          <w:p w:rsidR="00D91005" w:rsidRPr="00576319" w:rsidRDefault="00D91005" w:rsidP="009C5902">
            <w:pPr>
              <w:pStyle w:val="NoSpacing"/>
              <w:jc w:val="right"/>
              <w:rPr>
                <w:rFonts w:ascii="Arial" w:hAnsi="Arial" w:cs="Arial"/>
              </w:rPr>
            </w:pPr>
          </w:p>
        </w:tc>
        <w:tc>
          <w:tcPr>
            <w:tcW w:w="1562" w:type="dxa"/>
            <w:tcBorders>
              <w:top w:val="single" w:sz="4" w:space="0" w:color="auto"/>
            </w:tcBorders>
          </w:tcPr>
          <w:p w:rsidR="00D91005" w:rsidRPr="0099196C" w:rsidRDefault="00D91005" w:rsidP="009C5902">
            <w:pPr>
              <w:pStyle w:val="NoSpacing"/>
              <w:jc w:val="right"/>
              <w:rPr>
                <w:rFonts w:ascii="Arial" w:hAnsi="Arial" w:cs="Arial"/>
                <w:b/>
                <w:bCs/>
              </w:rPr>
            </w:pPr>
            <w:r w:rsidRPr="0099196C">
              <w:rPr>
                <w:rFonts w:ascii="Arial" w:hAnsi="Arial" w:cs="Arial"/>
                <w:b/>
                <w:bCs/>
              </w:rPr>
              <w:t>$1.262.551</w:t>
            </w:r>
          </w:p>
        </w:tc>
      </w:tr>
    </w:tbl>
    <w:p w:rsidR="00D91005" w:rsidRDefault="00D91005" w:rsidP="000B2B9A">
      <w:pPr>
        <w:pStyle w:val="NoSpacing"/>
        <w:rPr>
          <w:rFonts w:ascii="Arial" w:hAnsi="Arial" w:cs="Arial"/>
          <w:b/>
          <w:bCs/>
        </w:rPr>
      </w:pPr>
    </w:p>
    <w:tbl>
      <w:tblPr>
        <w:tblW w:w="9834" w:type="dxa"/>
        <w:jc w:val="center"/>
        <w:tblLook w:val="00A0"/>
      </w:tblPr>
      <w:tblGrid>
        <w:gridCol w:w="6832"/>
        <w:gridCol w:w="1440"/>
        <w:gridCol w:w="1562"/>
      </w:tblGrid>
      <w:tr w:rsidR="00D91005" w:rsidTr="009C5902">
        <w:trPr>
          <w:jc w:val="center"/>
        </w:trPr>
        <w:tc>
          <w:tcPr>
            <w:tcW w:w="6832" w:type="dxa"/>
          </w:tcPr>
          <w:p w:rsidR="00D91005" w:rsidRPr="00576319" w:rsidRDefault="00D91005" w:rsidP="009C5902">
            <w:pPr>
              <w:pStyle w:val="NoSpacing"/>
              <w:rPr>
                <w:rFonts w:ascii="Arial" w:hAnsi="Arial" w:cs="Arial"/>
                <w:b/>
                <w:bCs/>
              </w:rPr>
            </w:pPr>
            <w:r w:rsidRPr="00CB7199">
              <w:rPr>
                <w:rFonts w:ascii="Arial" w:hAnsi="Arial" w:cs="Arial"/>
                <w:b/>
                <w:bCs/>
              </w:rPr>
              <w:t>Ingresos y Gastos No Operacionales</w:t>
            </w:r>
          </w:p>
        </w:tc>
        <w:tc>
          <w:tcPr>
            <w:tcW w:w="1440" w:type="dxa"/>
          </w:tcPr>
          <w:p w:rsidR="00D91005" w:rsidRPr="00576319" w:rsidRDefault="00D91005" w:rsidP="009C5902">
            <w:pPr>
              <w:pStyle w:val="NoSpacing"/>
              <w:jc w:val="right"/>
              <w:rPr>
                <w:rFonts w:ascii="Arial" w:hAnsi="Arial" w:cs="Arial"/>
                <w:b/>
                <w:bCs/>
              </w:rPr>
            </w:pPr>
          </w:p>
        </w:tc>
        <w:tc>
          <w:tcPr>
            <w:tcW w:w="1562" w:type="dxa"/>
          </w:tcPr>
          <w:p w:rsidR="00D91005" w:rsidRPr="00576319" w:rsidRDefault="00D91005" w:rsidP="009C5902">
            <w:pPr>
              <w:pStyle w:val="NoSpacing"/>
              <w:jc w:val="right"/>
              <w:rPr>
                <w:rFonts w:ascii="Arial" w:hAnsi="Arial" w:cs="Arial"/>
                <w:b/>
                <w:bCs/>
              </w:rPr>
            </w:pPr>
          </w:p>
        </w:tc>
      </w:tr>
      <w:tr w:rsidR="00D91005" w:rsidTr="00756E29">
        <w:trPr>
          <w:jc w:val="center"/>
        </w:trPr>
        <w:tc>
          <w:tcPr>
            <w:tcW w:w="6832" w:type="dxa"/>
          </w:tcPr>
          <w:p w:rsidR="00D91005" w:rsidRPr="00756E29" w:rsidRDefault="00D91005" w:rsidP="00756E29">
            <w:pPr>
              <w:pStyle w:val="NoSpacing"/>
              <w:rPr>
                <w:rFonts w:ascii="Arial" w:hAnsi="Arial" w:cs="Arial"/>
              </w:rPr>
            </w:pPr>
            <w:r w:rsidRPr="00CB7199">
              <w:rPr>
                <w:rFonts w:ascii="Arial" w:hAnsi="Arial" w:cs="Arial"/>
              </w:rPr>
              <w:t>Depreciaciones, Provisiones y Agotamiento</w:t>
            </w:r>
          </w:p>
        </w:tc>
        <w:tc>
          <w:tcPr>
            <w:tcW w:w="1440" w:type="dxa"/>
          </w:tcPr>
          <w:p w:rsidR="00D91005" w:rsidRPr="00576319" w:rsidRDefault="00D91005" w:rsidP="009C5902">
            <w:pPr>
              <w:pStyle w:val="NoSpacing"/>
              <w:jc w:val="right"/>
              <w:rPr>
                <w:rFonts w:ascii="Arial" w:hAnsi="Arial" w:cs="Arial"/>
              </w:rPr>
            </w:pPr>
          </w:p>
        </w:tc>
        <w:tc>
          <w:tcPr>
            <w:tcW w:w="1562" w:type="dxa"/>
          </w:tcPr>
          <w:p w:rsidR="00D91005" w:rsidRPr="00576319" w:rsidRDefault="00D91005" w:rsidP="009C5902">
            <w:pPr>
              <w:pStyle w:val="NoSpacing"/>
              <w:jc w:val="right"/>
              <w:rPr>
                <w:rFonts w:ascii="Arial" w:hAnsi="Arial" w:cs="Arial"/>
              </w:rPr>
            </w:pPr>
            <w:r>
              <w:rPr>
                <w:rFonts w:ascii="Arial" w:hAnsi="Arial" w:cs="Arial"/>
              </w:rPr>
              <w:t>$</w:t>
            </w:r>
            <w:r w:rsidRPr="00CB7199">
              <w:rPr>
                <w:rFonts w:ascii="Arial" w:hAnsi="Arial" w:cs="Arial"/>
              </w:rPr>
              <w:t>150.119</w:t>
            </w:r>
          </w:p>
        </w:tc>
      </w:tr>
      <w:tr w:rsidR="00D91005" w:rsidTr="00756E29">
        <w:trPr>
          <w:jc w:val="center"/>
        </w:trPr>
        <w:tc>
          <w:tcPr>
            <w:tcW w:w="6832" w:type="dxa"/>
          </w:tcPr>
          <w:p w:rsidR="00D91005" w:rsidRPr="00576319" w:rsidRDefault="00D91005" w:rsidP="009C5902">
            <w:pPr>
              <w:pStyle w:val="NoSpacing"/>
              <w:jc w:val="both"/>
              <w:rPr>
                <w:rFonts w:ascii="Arial" w:hAnsi="Arial" w:cs="Arial"/>
              </w:rPr>
            </w:pPr>
            <w:r w:rsidRPr="00CB7199">
              <w:rPr>
                <w:rFonts w:ascii="Arial" w:hAnsi="Arial" w:cs="Arial"/>
              </w:rPr>
              <w:t>Ajuste por Saneamiento Ejercicios Anteriores</w:t>
            </w:r>
            <w:r w:rsidRPr="00CB7199">
              <w:rPr>
                <w:rFonts w:ascii="Arial" w:hAnsi="Arial" w:cs="Arial"/>
                <w:u w:val="single"/>
              </w:rPr>
              <w:t xml:space="preserve">     </w:t>
            </w:r>
          </w:p>
        </w:tc>
        <w:tc>
          <w:tcPr>
            <w:tcW w:w="1440" w:type="dxa"/>
          </w:tcPr>
          <w:p w:rsidR="00D91005" w:rsidRPr="00576319" w:rsidRDefault="00D91005" w:rsidP="009C5902">
            <w:pPr>
              <w:pStyle w:val="NoSpacing"/>
              <w:jc w:val="right"/>
              <w:rPr>
                <w:rFonts w:ascii="Arial" w:hAnsi="Arial" w:cs="Arial"/>
              </w:rPr>
            </w:pPr>
          </w:p>
        </w:tc>
        <w:tc>
          <w:tcPr>
            <w:tcW w:w="1562" w:type="dxa"/>
          </w:tcPr>
          <w:p w:rsidR="00D91005" w:rsidRPr="00756E29" w:rsidRDefault="00D91005" w:rsidP="009C5902">
            <w:pPr>
              <w:pStyle w:val="NoSpacing"/>
              <w:jc w:val="right"/>
              <w:rPr>
                <w:rFonts w:ascii="Arial" w:hAnsi="Arial" w:cs="Arial"/>
              </w:rPr>
            </w:pPr>
            <w:r>
              <w:rPr>
                <w:rFonts w:ascii="Arial" w:hAnsi="Arial" w:cs="Arial"/>
              </w:rPr>
              <w:t>$-</w:t>
            </w:r>
            <w:r w:rsidRPr="00756E29">
              <w:rPr>
                <w:rFonts w:ascii="Arial" w:hAnsi="Arial" w:cs="Arial"/>
              </w:rPr>
              <w:t>620.616</w:t>
            </w:r>
          </w:p>
        </w:tc>
      </w:tr>
      <w:tr w:rsidR="00D91005" w:rsidTr="00756E29">
        <w:trPr>
          <w:jc w:val="center"/>
        </w:trPr>
        <w:tc>
          <w:tcPr>
            <w:tcW w:w="6832" w:type="dxa"/>
          </w:tcPr>
          <w:p w:rsidR="00D91005" w:rsidRPr="00CB13C7" w:rsidRDefault="00D91005" w:rsidP="009C5902">
            <w:pPr>
              <w:pStyle w:val="NoSpacing"/>
              <w:jc w:val="both"/>
              <w:rPr>
                <w:rFonts w:ascii="Arial" w:hAnsi="Arial" w:cs="Arial"/>
              </w:rPr>
            </w:pPr>
            <w:r w:rsidRPr="00CB7199">
              <w:rPr>
                <w:rFonts w:ascii="Arial" w:hAnsi="Arial" w:cs="Arial"/>
                <w:b/>
                <w:bCs/>
              </w:rPr>
              <w:t xml:space="preserve">Excedente del Ejercicio </w:t>
            </w:r>
            <w:r w:rsidRPr="00CB7199">
              <w:rPr>
                <w:rFonts w:ascii="Arial" w:hAnsi="Arial" w:cs="Arial"/>
                <w:b/>
                <w:bCs/>
              </w:rPr>
              <w:tab/>
            </w:r>
            <w:r w:rsidRPr="00CB7199">
              <w:rPr>
                <w:rFonts w:ascii="Arial" w:hAnsi="Arial" w:cs="Arial"/>
                <w:b/>
                <w:bCs/>
              </w:rPr>
              <w:tab/>
            </w:r>
            <w:r w:rsidRPr="00CB7199">
              <w:rPr>
                <w:rFonts w:ascii="Arial" w:hAnsi="Arial" w:cs="Arial"/>
                <w:b/>
                <w:bCs/>
              </w:rPr>
              <w:tab/>
            </w:r>
            <w:r w:rsidRPr="00CB7199">
              <w:rPr>
                <w:rFonts w:ascii="Arial" w:hAnsi="Arial" w:cs="Arial"/>
                <w:b/>
                <w:bCs/>
              </w:rPr>
              <w:tab/>
            </w:r>
            <w:r w:rsidRPr="00CB7199">
              <w:rPr>
                <w:rFonts w:ascii="Arial" w:hAnsi="Arial" w:cs="Arial"/>
                <w:b/>
                <w:bCs/>
              </w:rPr>
              <w:tab/>
              <w:t xml:space="preserve">          </w:t>
            </w:r>
            <w:r w:rsidRPr="00CB7199">
              <w:rPr>
                <w:rFonts w:ascii="Arial" w:hAnsi="Arial" w:cs="Arial"/>
                <w:b/>
                <w:bCs/>
                <w:u w:val="single"/>
              </w:rPr>
              <w:t xml:space="preserve">                </w:t>
            </w:r>
          </w:p>
        </w:tc>
        <w:tc>
          <w:tcPr>
            <w:tcW w:w="1440" w:type="dxa"/>
          </w:tcPr>
          <w:p w:rsidR="00D91005" w:rsidRPr="00576319" w:rsidRDefault="00D91005" w:rsidP="009C5902">
            <w:pPr>
              <w:pStyle w:val="NoSpacing"/>
              <w:jc w:val="right"/>
              <w:rPr>
                <w:rFonts w:ascii="Arial" w:hAnsi="Arial" w:cs="Arial"/>
              </w:rPr>
            </w:pPr>
          </w:p>
        </w:tc>
        <w:tc>
          <w:tcPr>
            <w:tcW w:w="1562" w:type="dxa"/>
            <w:tcBorders>
              <w:bottom w:val="single" w:sz="4" w:space="0" w:color="auto"/>
            </w:tcBorders>
          </w:tcPr>
          <w:p w:rsidR="00D91005" w:rsidRPr="00756E29" w:rsidRDefault="00D91005" w:rsidP="009C5902">
            <w:pPr>
              <w:pStyle w:val="NoSpacing"/>
              <w:jc w:val="right"/>
              <w:rPr>
                <w:rFonts w:ascii="Arial" w:hAnsi="Arial" w:cs="Arial"/>
              </w:rPr>
            </w:pPr>
            <w:r>
              <w:rPr>
                <w:rFonts w:ascii="Arial" w:hAnsi="Arial" w:cs="Arial"/>
                <w:b/>
                <w:bCs/>
              </w:rPr>
              <w:t>$</w:t>
            </w:r>
            <w:r w:rsidRPr="00756E29">
              <w:rPr>
                <w:rFonts w:ascii="Arial" w:hAnsi="Arial" w:cs="Arial"/>
                <w:b/>
                <w:bCs/>
              </w:rPr>
              <w:t>792.054</w:t>
            </w:r>
          </w:p>
        </w:tc>
      </w:tr>
    </w:tbl>
    <w:p w:rsidR="00D91005" w:rsidRPr="00CB7199" w:rsidRDefault="00D91005" w:rsidP="000B2B9A">
      <w:pPr>
        <w:pStyle w:val="NoSpacing"/>
        <w:rPr>
          <w:rFonts w:ascii="Arial" w:hAnsi="Arial" w:cs="Arial"/>
          <w:b/>
          <w:bCs/>
        </w:rPr>
      </w:pPr>
    </w:p>
    <w:tbl>
      <w:tblPr>
        <w:tblW w:w="9834" w:type="dxa"/>
        <w:jc w:val="center"/>
        <w:tblLook w:val="00A0"/>
      </w:tblPr>
      <w:tblGrid>
        <w:gridCol w:w="6832"/>
        <w:gridCol w:w="1440"/>
        <w:gridCol w:w="1562"/>
      </w:tblGrid>
      <w:tr w:rsidR="00D91005" w:rsidTr="00756E29">
        <w:trPr>
          <w:jc w:val="center"/>
        </w:trPr>
        <w:tc>
          <w:tcPr>
            <w:tcW w:w="6832" w:type="dxa"/>
            <w:tcBorders>
              <w:bottom w:val="single" w:sz="4" w:space="0" w:color="auto"/>
            </w:tcBorders>
          </w:tcPr>
          <w:p w:rsidR="00D91005" w:rsidRPr="00756E29" w:rsidRDefault="00D91005" w:rsidP="009C5902">
            <w:pPr>
              <w:pStyle w:val="NoSpacing"/>
              <w:rPr>
                <w:rFonts w:ascii="Arial" w:hAnsi="Arial" w:cs="Arial"/>
                <w:b/>
                <w:bCs/>
              </w:rPr>
            </w:pPr>
            <w:r w:rsidRPr="00756E29">
              <w:rPr>
                <w:rFonts w:ascii="Arial" w:hAnsi="Arial" w:cs="Arial"/>
                <w:b/>
                <w:bCs/>
              </w:rPr>
              <w:t>AJUSTE CONTABLE VIGENCIA DE 2010</w:t>
            </w:r>
          </w:p>
        </w:tc>
        <w:tc>
          <w:tcPr>
            <w:tcW w:w="1440" w:type="dxa"/>
          </w:tcPr>
          <w:p w:rsidR="00D91005" w:rsidRPr="00576319" w:rsidRDefault="00D91005" w:rsidP="009C5902">
            <w:pPr>
              <w:pStyle w:val="NoSpacing"/>
              <w:jc w:val="right"/>
              <w:rPr>
                <w:rFonts w:ascii="Arial" w:hAnsi="Arial" w:cs="Arial"/>
                <w:b/>
                <w:bCs/>
              </w:rPr>
            </w:pPr>
          </w:p>
        </w:tc>
        <w:tc>
          <w:tcPr>
            <w:tcW w:w="1562" w:type="dxa"/>
          </w:tcPr>
          <w:p w:rsidR="00D91005" w:rsidRPr="00576319" w:rsidRDefault="00D91005" w:rsidP="009C5902">
            <w:pPr>
              <w:pStyle w:val="NoSpacing"/>
              <w:jc w:val="right"/>
              <w:rPr>
                <w:rFonts w:ascii="Arial" w:hAnsi="Arial" w:cs="Arial"/>
                <w:b/>
                <w:bCs/>
              </w:rPr>
            </w:pPr>
          </w:p>
        </w:tc>
      </w:tr>
      <w:tr w:rsidR="00D91005" w:rsidTr="00756E29">
        <w:trPr>
          <w:jc w:val="center"/>
        </w:trPr>
        <w:tc>
          <w:tcPr>
            <w:tcW w:w="6832" w:type="dxa"/>
            <w:tcBorders>
              <w:top w:val="single" w:sz="4" w:space="0" w:color="auto"/>
            </w:tcBorders>
          </w:tcPr>
          <w:p w:rsidR="00D91005" w:rsidRPr="00756E29" w:rsidRDefault="00D91005" w:rsidP="00756E29">
            <w:pPr>
              <w:pStyle w:val="NoSpacing"/>
              <w:jc w:val="both"/>
              <w:rPr>
                <w:rFonts w:ascii="Arial" w:hAnsi="Arial" w:cs="Arial"/>
              </w:rPr>
            </w:pPr>
            <w:r w:rsidRPr="00CB7199">
              <w:rPr>
                <w:rFonts w:ascii="Arial" w:hAnsi="Arial" w:cs="Arial"/>
              </w:rPr>
              <w:t>Ajuste Cuenta de Avances y</w:t>
            </w:r>
            <w:r>
              <w:rPr>
                <w:rFonts w:ascii="Arial" w:hAnsi="Arial" w:cs="Arial"/>
              </w:rPr>
              <w:t xml:space="preserve"> Anticipos entregados</w:t>
            </w:r>
          </w:p>
        </w:tc>
        <w:tc>
          <w:tcPr>
            <w:tcW w:w="1440" w:type="dxa"/>
          </w:tcPr>
          <w:p w:rsidR="00D91005" w:rsidRPr="00576319" w:rsidRDefault="00D91005" w:rsidP="009C5902">
            <w:pPr>
              <w:pStyle w:val="NoSpacing"/>
              <w:jc w:val="right"/>
              <w:rPr>
                <w:rFonts w:ascii="Arial" w:hAnsi="Arial" w:cs="Arial"/>
              </w:rPr>
            </w:pPr>
          </w:p>
        </w:tc>
        <w:tc>
          <w:tcPr>
            <w:tcW w:w="1562" w:type="dxa"/>
          </w:tcPr>
          <w:p w:rsidR="00D91005" w:rsidRPr="00576319" w:rsidRDefault="00D91005" w:rsidP="009C5902">
            <w:pPr>
              <w:pStyle w:val="NoSpacing"/>
              <w:jc w:val="right"/>
              <w:rPr>
                <w:rFonts w:ascii="Arial" w:hAnsi="Arial" w:cs="Arial"/>
              </w:rPr>
            </w:pPr>
            <w:r>
              <w:rPr>
                <w:rFonts w:ascii="Arial" w:hAnsi="Arial" w:cs="Arial"/>
              </w:rPr>
              <w:t>$</w:t>
            </w:r>
            <w:r w:rsidRPr="00CB7199">
              <w:rPr>
                <w:rFonts w:ascii="Arial" w:hAnsi="Arial" w:cs="Arial"/>
              </w:rPr>
              <w:t>308.262</w:t>
            </w:r>
          </w:p>
        </w:tc>
      </w:tr>
      <w:tr w:rsidR="00D91005" w:rsidTr="00756E29">
        <w:trPr>
          <w:jc w:val="center"/>
        </w:trPr>
        <w:tc>
          <w:tcPr>
            <w:tcW w:w="6832" w:type="dxa"/>
          </w:tcPr>
          <w:p w:rsidR="00D91005" w:rsidRPr="00576319" w:rsidRDefault="00D91005" w:rsidP="00756E29">
            <w:pPr>
              <w:pStyle w:val="NoSpacing"/>
              <w:jc w:val="both"/>
              <w:rPr>
                <w:rFonts w:ascii="Arial" w:hAnsi="Arial" w:cs="Arial"/>
              </w:rPr>
            </w:pPr>
            <w:r w:rsidRPr="00CB7199">
              <w:rPr>
                <w:rFonts w:ascii="Arial" w:hAnsi="Arial" w:cs="Arial"/>
              </w:rPr>
              <w:t>Ajuste por diferencia en indemnización cancelada por la Previsora SA</w:t>
            </w:r>
            <w:r>
              <w:rPr>
                <w:rFonts w:ascii="Arial" w:hAnsi="Arial" w:cs="Arial"/>
              </w:rPr>
              <w:t xml:space="preserve"> </w:t>
            </w:r>
            <w:r w:rsidRPr="00CB7199">
              <w:rPr>
                <w:rFonts w:ascii="Arial" w:hAnsi="Arial" w:cs="Arial"/>
              </w:rPr>
              <w:t>por incendio de Estrella de Agua, registrada en el 2007</w:t>
            </w:r>
            <w:r w:rsidRPr="00CB7199">
              <w:rPr>
                <w:rFonts w:ascii="Arial" w:hAnsi="Arial" w:cs="Arial"/>
              </w:rPr>
              <w:tab/>
              <w:t xml:space="preserve">                </w:t>
            </w:r>
          </w:p>
        </w:tc>
        <w:tc>
          <w:tcPr>
            <w:tcW w:w="1440" w:type="dxa"/>
          </w:tcPr>
          <w:p w:rsidR="00D91005" w:rsidRPr="00576319" w:rsidRDefault="00D91005" w:rsidP="009C5902">
            <w:pPr>
              <w:pStyle w:val="NoSpacing"/>
              <w:jc w:val="right"/>
              <w:rPr>
                <w:rFonts w:ascii="Arial" w:hAnsi="Arial" w:cs="Arial"/>
              </w:rPr>
            </w:pPr>
          </w:p>
        </w:tc>
        <w:tc>
          <w:tcPr>
            <w:tcW w:w="1562" w:type="dxa"/>
          </w:tcPr>
          <w:p w:rsidR="00D91005" w:rsidRPr="00756E29" w:rsidRDefault="00D91005" w:rsidP="009C5902">
            <w:pPr>
              <w:pStyle w:val="NoSpacing"/>
              <w:jc w:val="right"/>
              <w:rPr>
                <w:rFonts w:ascii="Arial" w:hAnsi="Arial" w:cs="Arial"/>
              </w:rPr>
            </w:pPr>
            <w:r>
              <w:rPr>
                <w:rFonts w:ascii="Arial" w:hAnsi="Arial" w:cs="Arial"/>
              </w:rPr>
              <w:t>$</w:t>
            </w:r>
            <w:r w:rsidRPr="00CB7199">
              <w:rPr>
                <w:rFonts w:ascii="Arial" w:hAnsi="Arial" w:cs="Arial"/>
              </w:rPr>
              <w:t>127.263</w:t>
            </w:r>
          </w:p>
        </w:tc>
      </w:tr>
      <w:tr w:rsidR="00D91005" w:rsidTr="00756E29">
        <w:trPr>
          <w:jc w:val="center"/>
        </w:trPr>
        <w:tc>
          <w:tcPr>
            <w:tcW w:w="6832" w:type="dxa"/>
          </w:tcPr>
          <w:p w:rsidR="00D91005" w:rsidRPr="00CB13C7" w:rsidRDefault="00D91005" w:rsidP="009C5902">
            <w:pPr>
              <w:pStyle w:val="NoSpacing"/>
              <w:jc w:val="both"/>
              <w:rPr>
                <w:rFonts w:ascii="Arial" w:hAnsi="Arial" w:cs="Arial"/>
              </w:rPr>
            </w:pPr>
            <w:r w:rsidRPr="00CB7199">
              <w:rPr>
                <w:rFonts w:ascii="Arial" w:hAnsi="Arial" w:cs="Arial"/>
              </w:rPr>
              <w:t>Ajustes por doble causación en C</w:t>
            </w:r>
            <w:r>
              <w:rPr>
                <w:rFonts w:ascii="Arial" w:hAnsi="Arial" w:cs="Arial"/>
              </w:rPr>
              <w:t>uentas</w:t>
            </w:r>
            <w:r w:rsidRPr="00CB7199">
              <w:rPr>
                <w:rFonts w:ascii="Arial" w:hAnsi="Arial" w:cs="Arial"/>
              </w:rPr>
              <w:t xml:space="preserve"> por Cobr</w:t>
            </w:r>
            <w:r>
              <w:rPr>
                <w:rFonts w:ascii="Arial" w:hAnsi="Arial" w:cs="Arial"/>
              </w:rPr>
              <w:t xml:space="preserve">ar </w:t>
            </w:r>
            <w:r w:rsidRPr="00CB7199">
              <w:rPr>
                <w:rFonts w:ascii="Arial" w:hAnsi="Arial" w:cs="Arial"/>
              </w:rPr>
              <w:t>-EPA por multas</w:t>
            </w:r>
          </w:p>
        </w:tc>
        <w:tc>
          <w:tcPr>
            <w:tcW w:w="1440" w:type="dxa"/>
          </w:tcPr>
          <w:p w:rsidR="00D91005" w:rsidRPr="00576319" w:rsidRDefault="00D91005" w:rsidP="009C5902">
            <w:pPr>
              <w:pStyle w:val="NoSpacing"/>
              <w:jc w:val="right"/>
              <w:rPr>
                <w:rFonts w:ascii="Arial" w:hAnsi="Arial" w:cs="Arial"/>
              </w:rPr>
            </w:pPr>
          </w:p>
        </w:tc>
        <w:tc>
          <w:tcPr>
            <w:tcW w:w="1562" w:type="dxa"/>
          </w:tcPr>
          <w:p w:rsidR="00D91005" w:rsidRPr="00756E29" w:rsidRDefault="00D91005" w:rsidP="009C5902">
            <w:pPr>
              <w:pStyle w:val="NoSpacing"/>
              <w:jc w:val="right"/>
              <w:rPr>
                <w:rFonts w:ascii="Arial" w:hAnsi="Arial" w:cs="Arial"/>
              </w:rPr>
            </w:pPr>
            <w:r>
              <w:rPr>
                <w:rFonts w:ascii="Arial" w:hAnsi="Arial" w:cs="Arial"/>
              </w:rPr>
              <w:t>$</w:t>
            </w:r>
            <w:r w:rsidRPr="00CB7199">
              <w:rPr>
                <w:rFonts w:ascii="Arial" w:hAnsi="Arial" w:cs="Arial"/>
              </w:rPr>
              <w:t>75.000</w:t>
            </w:r>
          </w:p>
        </w:tc>
      </w:tr>
      <w:tr w:rsidR="00D91005" w:rsidTr="00756E29">
        <w:trPr>
          <w:jc w:val="center"/>
        </w:trPr>
        <w:tc>
          <w:tcPr>
            <w:tcW w:w="6832" w:type="dxa"/>
          </w:tcPr>
          <w:p w:rsidR="00D91005" w:rsidRPr="00CB7199" w:rsidRDefault="00D91005" w:rsidP="009C5902">
            <w:pPr>
              <w:pStyle w:val="NoSpacing"/>
              <w:jc w:val="both"/>
              <w:rPr>
                <w:rFonts w:ascii="Arial" w:hAnsi="Arial" w:cs="Arial"/>
              </w:rPr>
            </w:pPr>
            <w:r w:rsidRPr="00CB7199">
              <w:rPr>
                <w:rFonts w:ascii="Arial" w:hAnsi="Arial" w:cs="Arial"/>
              </w:rPr>
              <w:t>Ajuste por doble causación en C</w:t>
            </w:r>
            <w:r>
              <w:rPr>
                <w:rFonts w:ascii="Arial" w:hAnsi="Arial" w:cs="Arial"/>
              </w:rPr>
              <w:t>uentas por Cobrar</w:t>
            </w:r>
            <w:r w:rsidRPr="00CB7199">
              <w:rPr>
                <w:rFonts w:ascii="Arial" w:hAnsi="Arial" w:cs="Arial"/>
              </w:rPr>
              <w:t xml:space="preserve"> –M</w:t>
            </w:r>
            <w:r>
              <w:rPr>
                <w:rFonts w:ascii="Arial" w:hAnsi="Arial" w:cs="Arial"/>
              </w:rPr>
              <w:t>unicipio Armenia</w:t>
            </w:r>
            <w:r w:rsidRPr="00CB7199">
              <w:rPr>
                <w:rFonts w:ascii="Arial" w:hAnsi="Arial" w:cs="Arial"/>
              </w:rPr>
              <w:t xml:space="preserve"> por multas</w:t>
            </w:r>
          </w:p>
        </w:tc>
        <w:tc>
          <w:tcPr>
            <w:tcW w:w="1440" w:type="dxa"/>
          </w:tcPr>
          <w:p w:rsidR="00D91005" w:rsidRPr="00576319" w:rsidRDefault="00D91005" w:rsidP="009C5902">
            <w:pPr>
              <w:pStyle w:val="NoSpacing"/>
              <w:jc w:val="right"/>
              <w:rPr>
                <w:rFonts w:ascii="Arial" w:hAnsi="Arial" w:cs="Arial"/>
              </w:rPr>
            </w:pPr>
          </w:p>
        </w:tc>
        <w:tc>
          <w:tcPr>
            <w:tcW w:w="1562" w:type="dxa"/>
          </w:tcPr>
          <w:p w:rsidR="00D91005" w:rsidRPr="0099196C" w:rsidRDefault="00D91005" w:rsidP="009C5902">
            <w:pPr>
              <w:pStyle w:val="NoSpacing"/>
              <w:jc w:val="right"/>
              <w:rPr>
                <w:rFonts w:ascii="Arial" w:hAnsi="Arial" w:cs="Arial"/>
              </w:rPr>
            </w:pPr>
            <w:r>
              <w:rPr>
                <w:rFonts w:ascii="Arial" w:hAnsi="Arial" w:cs="Arial"/>
              </w:rPr>
              <w:t>$</w:t>
            </w:r>
            <w:r w:rsidRPr="00CB7199">
              <w:rPr>
                <w:rFonts w:ascii="Arial" w:hAnsi="Arial" w:cs="Arial"/>
              </w:rPr>
              <w:t>35.000</w:t>
            </w:r>
          </w:p>
        </w:tc>
      </w:tr>
      <w:tr w:rsidR="00D91005" w:rsidTr="00756E29">
        <w:trPr>
          <w:jc w:val="center"/>
        </w:trPr>
        <w:tc>
          <w:tcPr>
            <w:tcW w:w="6832" w:type="dxa"/>
          </w:tcPr>
          <w:p w:rsidR="00D91005" w:rsidRPr="0099196C" w:rsidRDefault="00D91005" w:rsidP="009C5902">
            <w:pPr>
              <w:pStyle w:val="NoSpacing"/>
              <w:rPr>
                <w:rFonts w:ascii="Arial" w:hAnsi="Arial" w:cs="Arial"/>
                <w:b/>
                <w:bCs/>
              </w:rPr>
            </w:pPr>
            <w:r w:rsidRPr="00CB7199">
              <w:rPr>
                <w:rFonts w:ascii="Arial" w:hAnsi="Arial" w:cs="Arial"/>
              </w:rPr>
              <w:t>Ajustes Varios Proceso de Depuración Contable en 2010</w:t>
            </w:r>
          </w:p>
        </w:tc>
        <w:tc>
          <w:tcPr>
            <w:tcW w:w="1440" w:type="dxa"/>
          </w:tcPr>
          <w:p w:rsidR="00D91005" w:rsidRPr="00576319" w:rsidRDefault="00D91005" w:rsidP="009C5902">
            <w:pPr>
              <w:pStyle w:val="NoSpacing"/>
              <w:jc w:val="right"/>
              <w:rPr>
                <w:rFonts w:ascii="Arial" w:hAnsi="Arial" w:cs="Arial"/>
              </w:rPr>
            </w:pPr>
          </w:p>
        </w:tc>
        <w:tc>
          <w:tcPr>
            <w:tcW w:w="1562" w:type="dxa"/>
            <w:tcBorders>
              <w:bottom w:val="single" w:sz="4" w:space="0" w:color="auto"/>
            </w:tcBorders>
          </w:tcPr>
          <w:p w:rsidR="00D91005" w:rsidRPr="00756E29" w:rsidRDefault="00D91005" w:rsidP="009C5902">
            <w:pPr>
              <w:pStyle w:val="NoSpacing"/>
              <w:jc w:val="right"/>
              <w:rPr>
                <w:rFonts w:ascii="Arial" w:hAnsi="Arial" w:cs="Arial"/>
                <w:b/>
                <w:bCs/>
              </w:rPr>
            </w:pPr>
            <w:r w:rsidRPr="00756E29">
              <w:rPr>
                <w:rFonts w:ascii="Arial" w:hAnsi="Arial" w:cs="Arial"/>
              </w:rPr>
              <w:t>79.931</w:t>
            </w:r>
          </w:p>
        </w:tc>
      </w:tr>
      <w:tr w:rsidR="00D91005" w:rsidTr="00756E29">
        <w:trPr>
          <w:jc w:val="center"/>
        </w:trPr>
        <w:tc>
          <w:tcPr>
            <w:tcW w:w="6832" w:type="dxa"/>
          </w:tcPr>
          <w:p w:rsidR="00D91005" w:rsidRPr="00CB7199" w:rsidRDefault="00D91005" w:rsidP="009C5902">
            <w:pPr>
              <w:pStyle w:val="NoSpacing"/>
              <w:jc w:val="both"/>
              <w:rPr>
                <w:rFonts w:ascii="Arial" w:hAnsi="Arial" w:cs="Arial"/>
              </w:rPr>
            </w:pPr>
            <w:r w:rsidRPr="00CB7199">
              <w:rPr>
                <w:rFonts w:ascii="Arial" w:hAnsi="Arial" w:cs="Arial"/>
                <w:b/>
                <w:bCs/>
              </w:rPr>
              <w:t>Total Ajustes por Saneamiento año 2010</w:t>
            </w:r>
            <w:r w:rsidRPr="00CB7199">
              <w:rPr>
                <w:rFonts w:ascii="Arial" w:hAnsi="Arial" w:cs="Arial"/>
                <w:b/>
                <w:bCs/>
              </w:rPr>
              <w:tab/>
            </w:r>
          </w:p>
        </w:tc>
        <w:tc>
          <w:tcPr>
            <w:tcW w:w="1440" w:type="dxa"/>
          </w:tcPr>
          <w:p w:rsidR="00D91005" w:rsidRPr="00576319" w:rsidRDefault="00D91005" w:rsidP="009C5902">
            <w:pPr>
              <w:pStyle w:val="NoSpacing"/>
              <w:jc w:val="right"/>
              <w:rPr>
                <w:rFonts w:ascii="Arial" w:hAnsi="Arial" w:cs="Arial"/>
              </w:rPr>
            </w:pPr>
          </w:p>
        </w:tc>
        <w:tc>
          <w:tcPr>
            <w:tcW w:w="1562" w:type="dxa"/>
            <w:tcBorders>
              <w:top w:val="single" w:sz="4" w:space="0" w:color="auto"/>
              <w:bottom w:val="single" w:sz="4" w:space="0" w:color="auto"/>
            </w:tcBorders>
          </w:tcPr>
          <w:p w:rsidR="00D91005" w:rsidRPr="00756E29" w:rsidRDefault="00D91005" w:rsidP="009C5902">
            <w:pPr>
              <w:pStyle w:val="NoSpacing"/>
              <w:jc w:val="right"/>
              <w:rPr>
                <w:rFonts w:ascii="Arial" w:hAnsi="Arial" w:cs="Arial"/>
              </w:rPr>
            </w:pPr>
            <w:r w:rsidRPr="00756E29">
              <w:rPr>
                <w:rFonts w:ascii="Arial" w:hAnsi="Arial" w:cs="Arial"/>
                <w:b/>
                <w:bCs/>
              </w:rPr>
              <w:t>620.616</w:t>
            </w:r>
          </w:p>
        </w:tc>
      </w:tr>
    </w:tbl>
    <w:p w:rsidR="00D91005" w:rsidRPr="00CB7199" w:rsidRDefault="00D91005" w:rsidP="000B2B9A">
      <w:pPr>
        <w:pStyle w:val="NoSpacing"/>
        <w:rPr>
          <w:rFonts w:ascii="Arial" w:hAnsi="Arial" w:cs="Arial"/>
          <w:u w:val="single"/>
        </w:rPr>
      </w:pPr>
    </w:p>
    <w:p w:rsidR="00D91005" w:rsidRPr="00CB7199" w:rsidRDefault="00D91005" w:rsidP="000B2B9A">
      <w:pPr>
        <w:pStyle w:val="NoSpacing"/>
        <w:jc w:val="both"/>
        <w:rPr>
          <w:rFonts w:ascii="Arial" w:hAnsi="Arial" w:cs="Arial"/>
        </w:rPr>
      </w:pPr>
      <w:r w:rsidRPr="00CB7199">
        <w:rPr>
          <w:rFonts w:ascii="Arial" w:hAnsi="Arial" w:cs="Arial"/>
          <w:b/>
          <w:bCs/>
        </w:rPr>
        <w:t>Nota</w:t>
      </w:r>
      <w:r w:rsidRPr="006748B7">
        <w:rPr>
          <w:rFonts w:ascii="Arial" w:hAnsi="Arial" w:cs="Arial"/>
        </w:rPr>
        <w:t>:</w:t>
      </w:r>
      <w:r w:rsidRPr="00CB7199">
        <w:rPr>
          <w:rFonts w:ascii="Arial" w:hAnsi="Arial" w:cs="Arial"/>
        </w:rPr>
        <w:t xml:space="preserve"> Los ajustes fueron llevados a cago dentro de Proceso de Sostenibilidad de la Información Contable y están debidamente soportados en las Actas del Comité, reuniones en las cuales la Revisoría Fiscal asistió en calidad de invitada, con el propósito de verificar los procesos y hacer seguimiento a su cumplimiento </w:t>
      </w:r>
    </w:p>
    <w:p w:rsidR="00D91005" w:rsidRPr="00CB7199" w:rsidRDefault="00D91005" w:rsidP="000B2B9A">
      <w:pPr>
        <w:pStyle w:val="NoSpacing"/>
        <w:jc w:val="both"/>
        <w:rPr>
          <w:rFonts w:ascii="Arial" w:hAnsi="Arial" w:cs="Arial"/>
        </w:rPr>
      </w:pPr>
    </w:p>
    <w:p w:rsidR="00D91005" w:rsidRPr="00CB7199" w:rsidRDefault="00D91005" w:rsidP="000B2B9A">
      <w:pPr>
        <w:pStyle w:val="NoSpacing"/>
        <w:jc w:val="both"/>
        <w:rPr>
          <w:rFonts w:ascii="Arial" w:hAnsi="Arial" w:cs="Arial"/>
        </w:rPr>
      </w:pPr>
    </w:p>
    <w:p w:rsidR="00D91005" w:rsidRPr="00CB7199" w:rsidRDefault="00D91005" w:rsidP="000B2B9A">
      <w:pPr>
        <w:pStyle w:val="NoSpacing"/>
        <w:jc w:val="both"/>
        <w:rPr>
          <w:rFonts w:ascii="Arial" w:hAnsi="Arial" w:cs="Arial"/>
        </w:rPr>
      </w:pPr>
    </w:p>
    <w:p w:rsidR="00D91005" w:rsidRPr="00CB7199" w:rsidRDefault="00D91005" w:rsidP="000B2B9A">
      <w:pPr>
        <w:pStyle w:val="NoSpacing"/>
        <w:jc w:val="both"/>
        <w:rPr>
          <w:rFonts w:ascii="Arial" w:hAnsi="Arial" w:cs="Arial"/>
        </w:rPr>
      </w:pPr>
    </w:p>
    <w:p w:rsidR="00D91005" w:rsidRPr="00CB7199" w:rsidRDefault="00D91005" w:rsidP="000B2B9A">
      <w:pPr>
        <w:pStyle w:val="NoSpacing"/>
        <w:jc w:val="both"/>
        <w:rPr>
          <w:rFonts w:ascii="Arial" w:hAnsi="Arial" w:cs="Arial"/>
        </w:rPr>
      </w:pPr>
    </w:p>
    <w:p w:rsidR="00D91005" w:rsidRPr="00CB7199" w:rsidRDefault="00D91005" w:rsidP="000B2B9A">
      <w:pPr>
        <w:pStyle w:val="NoSpacing"/>
        <w:jc w:val="both"/>
        <w:rPr>
          <w:rFonts w:ascii="Arial" w:hAnsi="Arial" w:cs="Arial"/>
          <w:b/>
          <w:bCs/>
        </w:rPr>
      </w:pPr>
      <w:r>
        <w:rPr>
          <w:rFonts w:ascii="Arial" w:hAnsi="Arial" w:cs="Arial"/>
          <w:b/>
          <w:bCs/>
        </w:rPr>
        <w:t>GLORIA INÉS MARÍ</w:t>
      </w:r>
      <w:r w:rsidRPr="00CB7199">
        <w:rPr>
          <w:rFonts w:ascii="Arial" w:hAnsi="Arial" w:cs="Arial"/>
          <w:b/>
          <w:bCs/>
        </w:rPr>
        <w:t>N BETANCOURT</w:t>
      </w:r>
    </w:p>
    <w:p w:rsidR="00D91005" w:rsidRPr="00CB7199" w:rsidRDefault="00D91005">
      <w:pPr>
        <w:rPr>
          <w:rFonts w:ascii="Arial" w:hAnsi="Arial" w:cs="Arial"/>
        </w:rPr>
      </w:pPr>
      <w:r w:rsidRPr="00CB7199">
        <w:rPr>
          <w:rFonts w:ascii="Arial" w:hAnsi="Arial" w:cs="Arial"/>
          <w:b/>
          <w:bCs/>
        </w:rPr>
        <w:t>Revisora Fiscal CRQ</w:t>
      </w:r>
    </w:p>
    <w:sectPr w:rsidR="00D91005" w:rsidRPr="00CB7199" w:rsidSect="0026221B">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B2B9A"/>
    <w:rsid w:val="000B2B9A"/>
    <w:rsid w:val="000C191A"/>
    <w:rsid w:val="001F0ABB"/>
    <w:rsid w:val="0026221B"/>
    <w:rsid w:val="002903D6"/>
    <w:rsid w:val="00381A44"/>
    <w:rsid w:val="003A4257"/>
    <w:rsid w:val="004459A8"/>
    <w:rsid w:val="0047136A"/>
    <w:rsid w:val="00473D7F"/>
    <w:rsid w:val="004C34AF"/>
    <w:rsid w:val="005515E7"/>
    <w:rsid w:val="00561E02"/>
    <w:rsid w:val="00576319"/>
    <w:rsid w:val="005A55A8"/>
    <w:rsid w:val="005D0078"/>
    <w:rsid w:val="0063467E"/>
    <w:rsid w:val="006435E4"/>
    <w:rsid w:val="006748B7"/>
    <w:rsid w:val="006E67AF"/>
    <w:rsid w:val="00736C38"/>
    <w:rsid w:val="00741D52"/>
    <w:rsid w:val="00756E29"/>
    <w:rsid w:val="007E4AE9"/>
    <w:rsid w:val="00817E6D"/>
    <w:rsid w:val="008449EA"/>
    <w:rsid w:val="008A456E"/>
    <w:rsid w:val="0094313E"/>
    <w:rsid w:val="00974B9B"/>
    <w:rsid w:val="00975731"/>
    <w:rsid w:val="0099196C"/>
    <w:rsid w:val="009C5902"/>
    <w:rsid w:val="00B5225E"/>
    <w:rsid w:val="00BA3136"/>
    <w:rsid w:val="00BB0A00"/>
    <w:rsid w:val="00C3241A"/>
    <w:rsid w:val="00CB13C7"/>
    <w:rsid w:val="00CB7199"/>
    <w:rsid w:val="00CC016E"/>
    <w:rsid w:val="00CC4C2A"/>
    <w:rsid w:val="00D91005"/>
    <w:rsid w:val="00EA004F"/>
    <w:rsid w:val="00F35B03"/>
    <w:rsid w:val="00F935F5"/>
    <w:rsid w:val="00F94A47"/>
    <w:rsid w:val="00FF310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2B9A"/>
    <w:pPr>
      <w:spacing w:after="200" w:line="276" w:lineRule="auto"/>
    </w:pPr>
    <w:rPr>
      <w:rFonts w:cs="Calibri"/>
      <w:lang w:val="es-AR"/>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0B2B9A"/>
    <w:rPr>
      <w:rFonts w:cs="Calibri"/>
      <w:lang w:val="es-AR"/>
    </w:rPr>
  </w:style>
  <w:style w:type="table" w:styleId="TableGrid">
    <w:name w:val="Table Grid"/>
    <w:basedOn w:val="TableNormal"/>
    <w:uiPriority w:val="99"/>
    <w:rsid w:val="00974B9B"/>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305</TotalTime>
  <Pages>3</Pages>
  <Words>1091</Words>
  <Characters>6002</Characters>
  <Application>Microsoft Office Outlook</Application>
  <DocSecurity>0</DocSecurity>
  <Lines>0</Lines>
  <Paragraphs>0</Paragraphs>
  <ScaleCrop>false</ScaleCrop>
  <Company>CORPORACION AUTONOMA REGONAL DEL QUINDIO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gimarin</dc:creator>
  <cp:keywords/>
  <dc:description/>
  <cp:lastModifiedBy>jdalzate</cp:lastModifiedBy>
  <cp:revision>13</cp:revision>
  <cp:lastPrinted>2011-02-15T14:14:00Z</cp:lastPrinted>
  <dcterms:created xsi:type="dcterms:W3CDTF">2011-02-15T14:07:00Z</dcterms:created>
  <dcterms:modified xsi:type="dcterms:W3CDTF">2011-02-16T15:49:00Z</dcterms:modified>
</cp:coreProperties>
</file>